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6"/>
      </w:tblGrid>
      <w:tr>
        <w:tc>
          <w:tcPr>
            <w:tcW w:type="dxa" w:w="8504"/>
            <w:tcBorders>
              <w:top w:val="none" w:sz="0"/>
              <w:left w:val="none" w:sz="0"/>
              <w:right w:val="none" w:sz="0"/>
              <w:bottom w:val="none" w:sz="0"/>
            </w:tcBorders>
            <w:tcMar>
              <w:top w:w="0" w:type="dxa"/>
              <w:left w:w="0" w:type="dxa"/>
              <w:right w:w="0" w:type="dxa"/>
              <w:bottom w:w="0" w:type="dxa"/>
            </w:tcMar>
          </w:tcPr>
          <w:p>
            <w:pPr>
              <w:spacing w:before="0" w:after="0" w:line="240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"/>
              </w:rPr>
            </w:r>
          </w:p>
          <w:tbl>
            <w:tblPr>
              <w:tblW w:type="auto" w:w="0"/>
              <w:jc w:val="left"/>
              <w:tblLook w:firstColumn="1" w:firstRow="1" w:lastColumn="0" w:lastRow="0" w:noHBand="0" w:noVBand="1" w:val="04A0"/>
            </w:tblPr>
            <w:tblGrid>
              <w:gridCol w:w="8504"/>
            </w:tblGrid>
            <w:tr>
              <w:trPr>
                <w:trHeight w:val="60" w:hRule="exact"/>
              </w:trPr>
              <w:tc>
                <w:tcPr>
                  <w:tcW w:type="dxa" w:w="1417"/>
                  <w:shd w:val="clear" w:color="auto" w:fill="1387C0"/>
                  <w:tcBorders>
                    <w:top w:val="none" w:sz="0"/>
                    <w:left w:val="none" w:sz="0"/>
                    <w:right w:val="none" w:sz="0"/>
                    <w:bottom w:val="none" w:sz="0"/>
                  </w:tcBorders>
                  <w:tcMar>
                    <w:top w:w="0" w:type="dxa"/>
                    <w:left w:w="0" w:type="dxa"/>
                    <w:right w:w="0" w:type="dxa"/>
                    <w:bottom w:w="0" w:type="dxa"/>
                  </w:tcMar>
                </w:tcPr>
                <w:p>
                  <w:pPr>
                    <w:spacing w:before="0" w:after="0" w:line="20" w:lineRule="exact"/>
                    <w:ind w:firstLine="0"/>
                  </w:pPr>
                </w:p>
              </w:tc>
            </w:tr>
          </w:tbl>
          <w:p/>
        </w:tc>
      </w:tr>
      <w:tr>
        <w:tc>
          <w:tcPr>
            <w:tcW w:type="dxa" w:w="8504"/>
            <w:tcBorders>
              <w:top w:val="none" w:sz="0"/>
              <w:left w:val="none" w:sz="0"/>
              <w:right w:val="none" w:sz="0"/>
              <w:bottom w:val="none" w:sz="0"/>
            </w:tcBorders>
            <w:tcMar>
              <w:top w:w="0" w:type="dxa"/>
              <w:left w:w="0" w:type="dxa"/>
              <w:right w:w="0" w:type="dxa"/>
              <w:bottom w:w="0" w:type="dxa"/>
            </w:tcMar>
          </w:tcPr>
          <w:p>
            <w:pPr>
              <w:spacing w:before="0" w:after="0" w:line="240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60"/>
              </w:rPr>
              <w:t xml:space="preserve"> </w:t>
            </w:r>
          </w:p>
        </w:tc>
      </w:tr>
      <w:tr>
        <w:tc>
          <w:tcPr>
            <w:tcW w:type="dxa" w:w="8504"/>
            <w:tcBorders>
              <w:top w:val="none" w:sz="0"/>
              <w:left w:val="none" w:sz="0"/>
              <w:right w:val="none" w:sz="0"/>
              <w:bottom w:val="none" w:sz="0"/>
            </w:tcBorders>
            <w:tcMar>
              <w:top w:w="0" w:type="dxa"/>
              <w:left w:w="0" w:type="dxa"/>
              <w:right w:w="0" w:type="dxa"/>
              <w:bottom w:w="0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/>
                <w:color w:val="000000"/>
                <w:sz w:val="72"/>
              </w:rPr>
              <w:t>NEGOTIATION</w:t>
            </w:r>
          </w:p>
        </w:tc>
      </w:tr>
      <w:tr>
        <w:tc>
          <w:tcPr>
            <w:tcW w:type="dxa" w:w="8504"/>
            <w:tcBorders>
              <w:top w:val="none" w:sz="0"/>
              <w:left w:val="none" w:sz="0"/>
              <w:right w:val="none" w:sz="0"/>
              <w:bottom w:val="none" w:sz="0"/>
            </w:tcBorders>
            <w:tcMar>
              <w:top w:w="0" w:type="dxa"/>
              <w:left w:w="0" w:type="dxa"/>
              <w:right w:w="0" w:type="dxa"/>
              <w:bottom w:w="0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/>
                <w:color w:val="000000"/>
                <w:sz w:val="72"/>
              </w:rPr>
              <w:t>PRIORITY</w:t>
            </w:r>
          </w:p>
        </w:tc>
      </w:tr>
      <w:tr>
        <w:tc>
          <w:tcPr>
            <w:tcW w:type="dxa" w:w="8504"/>
            <w:tcBorders>
              <w:top w:val="none" w:sz="0"/>
              <w:left w:val="none" w:sz="0"/>
              <w:right w:val="none" w:sz="0"/>
              <w:bottom w:val="none" w:sz="0"/>
            </w:tcBorders>
            <w:tcMar>
              <w:top w:w="0" w:type="dxa"/>
              <w:left w:w="0" w:type="dxa"/>
              <w:right w:w="0" w:type="dxa"/>
              <w:bottom w:w="0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/>
                <w:color w:val="000000"/>
                <w:sz w:val="72"/>
              </w:rPr>
              <w:t>CHECKLIST</w:t>
            </w:r>
          </w:p>
        </w:tc>
      </w:tr>
      <w:tr>
        <w:tc>
          <w:tcPr>
            <w:tcW w:type="dxa" w:w="8504"/>
            <w:tcBorders>
              <w:top w:val="none" w:sz="0"/>
              <w:left w:val="none" w:sz="0"/>
              <w:right w:val="none" w:sz="0"/>
              <w:bottom w:val="none" w:sz="0"/>
            </w:tcBorders>
            <w:tcMar>
              <w:top w:w="0" w:type="dxa"/>
              <w:left w:w="0" w:type="dxa"/>
              <w:right w:w="0" w:type="dxa"/>
              <w:bottom w:w="0" w:type="dxa"/>
            </w:tcMar>
          </w:tcPr>
          <w:p>
            <w:pPr>
              <w:spacing w:before="0" w:after="0" w:line="240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 xml:space="preserve"> </w:t>
            </w:r>
          </w:p>
        </w:tc>
      </w:tr>
      <w:tr>
        <w:tc>
          <w:tcPr>
            <w:tcW w:type="dxa" w:w="8504"/>
            <w:tcBorders>
              <w:top w:val="none" w:sz="0"/>
              <w:left w:val="none" w:sz="0"/>
              <w:right w:val="none" w:sz="0"/>
              <w:bottom w:val="none" w:sz="0"/>
            </w:tcBorders>
            <w:tcMar>
              <w:top w:w="0" w:type="dxa"/>
              <w:left w:w="0" w:type="dxa"/>
              <w:right w:w="0" w:type="dxa"/>
              <w:bottom w:w="0" w:type="dxa"/>
            </w:tcMar>
          </w:tcPr>
          <w:p>
            <w:pPr>
              <w:spacing w:before="0" w:after="0" w:line="240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"/>
              </w:rPr>
            </w:r>
          </w:p>
          <w:tbl>
            <w:tblPr>
              <w:tblW w:type="auto" w:w="0"/>
              <w:jc w:val="left"/>
              <w:tblLook w:firstColumn="1" w:firstRow="1" w:lastColumn="0" w:lastRow="0" w:noHBand="0" w:noVBand="1" w:val="04A0"/>
            </w:tblPr>
            <w:tblGrid>
              <w:gridCol w:w="8504"/>
            </w:tblGrid>
            <w:tr>
              <w:trPr>
                <w:trHeight w:val="40" w:hRule="exact"/>
              </w:trPr>
              <w:tc>
                <w:tcPr>
                  <w:tcW w:type="dxa" w:w="1417"/>
                  <w:shd w:val="clear" w:color="auto" w:fill="1387C0"/>
                  <w:tcBorders>
                    <w:top w:val="none" w:sz="0"/>
                    <w:left w:val="none" w:sz="0"/>
                    <w:right w:val="none" w:sz="0"/>
                    <w:bottom w:val="none" w:sz="0"/>
                  </w:tcBorders>
                  <w:tcMar>
                    <w:top w:w="0" w:type="dxa"/>
                    <w:left w:w="0" w:type="dxa"/>
                    <w:right w:w="0" w:type="dxa"/>
                    <w:bottom w:w="0" w:type="dxa"/>
                  </w:tcMar>
                </w:tcPr>
                <w:p>
                  <w:pPr>
                    <w:spacing w:before="0" w:after="0" w:line="20" w:lineRule="exact"/>
                    <w:ind w:firstLine="0"/>
                  </w:pPr>
                </w:p>
              </w:tc>
            </w:tr>
          </w:tbl>
          <w:p/>
        </w:tc>
      </w:tr>
      <w:tr>
        <w:tc>
          <w:tcPr>
            <w:tcW w:type="dxa" w:w="8504"/>
            <w:tcBorders>
              <w:top w:val="none" w:sz="0"/>
              <w:left w:val="none" w:sz="0"/>
              <w:right w:val="none" w:sz="0"/>
              <w:bottom w:val="none" w:sz="0"/>
            </w:tcBorders>
            <w:tcMar>
              <w:top w:w="0" w:type="dxa"/>
              <w:left w:w="0" w:type="dxa"/>
              <w:right w:w="0" w:type="dxa"/>
              <w:bottom w:w="0" w:type="dxa"/>
            </w:tcMar>
          </w:tcPr>
          <w:p>
            <w:pPr>
              <w:spacing w:before="0" w:after="0" w:line="240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 xml:space="preserve"> </w:t>
            </w:r>
          </w:p>
        </w:tc>
      </w:tr>
      <w:tr>
        <w:tc>
          <w:tcPr>
            <w:tcW w:type="dxa" w:w="8504"/>
            <w:tcBorders>
              <w:top w:val="none" w:sz="0"/>
              <w:left w:val="none" w:sz="0"/>
              <w:right w:val="none" w:sz="0"/>
              <w:bottom w:val="none" w:sz="0"/>
            </w:tcBorders>
            <w:tcMar>
              <w:top w:w="0" w:type="dxa"/>
              <w:left w:w="0" w:type="dxa"/>
              <w:right w:w="0" w:type="dxa"/>
              <w:bottom w:w="0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/>
                <w:color w:val="000000"/>
                <w:sz w:val="44"/>
              </w:rPr>
              <w:t>谈判优先级清单</w:t>
            </w:r>
          </w:p>
        </w:tc>
      </w:tr>
      <w:tr>
        <w:tc>
          <w:tcPr>
            <w:tcW w:type="dxa" w:w="8504"/>
            <w:tcBorders>
              <w:top w:val="none" w:sz="0"/>
              <w:left w:val="none" w:sz="0"/>
              <w:right w:val="none" w:sz="0"/>
              <w:bottom w:val="none" w:sz="0"/>
            </w:tcBorders>
            <w:tcMar>
              <w:top w:w="0" w:type="dxa"/>
              <w:left w:w="0" w:type="dxa"/>
              <w:right w:w="0" w:type="dxa"/>
              <w:bottom w:w="0" w:type="dxa"/>
            </w:tcMar>
          </w:tcPr>
          <w:p>
            <w:pPr>
              <w:spacing w:before="0" w:after="0" w:line="240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"/>
              </w:rPr>
            </w:r>
          </w:p>
          <w:tbl>
            <w:tblPr>
              <w:tblW w:type="auto" w:w="0"/>
              <w:jc w:val="left"/>
              <w:tblLook w:firstColumn="1" w:firstRow="1" w:lastColumn="0" w:lastRow="0" w:noHBand="0" w:noVBand="1" w:val="04A0"/>
            </w:tblPr>
            <w:tblGrid>
              <w:gridCol w:w="8504"/>
            </w:tblGrid>
            <w:tr>
              <w:trPr>
                <w:trHeight w:val="20" w:hRule="exact"/>
              </w:trPr>
              <w:tc>
                <w:tcPr>
                  <w:tcW w:type="dxa" w:w="7937"/>
                  <w:shd w:val="clear" w:color="auto" w:fill="1387C0"/>
                  <w:tcBorders>
                    <w:top w:val="none" w:sz="0"/>
                    <w:left w:val="none" w:sz="0"/>
                    <w:right w:val="none" w:sz="0"/>
                    <w:bottom w:val="none" w:sz="0"/>
                  </w:tcBorders>
                  <w:tcMar>
                    <w:top w:w="0" w:type="dxa"/>
                    <w:left w:w="0" w:type="dxa"/>
                    <w:right w:w="0" w:type="dxa"/>
                    <w:bottom w:w="0" w:type="dxa"/>
                  </w:tcMar>
                </w:tcPr>
                <w:p>
                  <w:pPr>
                    <w:spacing w:before="0" w:after="0" w:line="20" w:lineRule="exact"/>
                    <w:ind w:firstLine="0"/>
                  </w:pPr>
                </w:p>
              </w:tc>
            </w:tr>
          </w:tbl>
          <w:p/>
        </w:tc>
      </w:tr>
      <w:tr>
        <w:tc>
          <w:tcPr>
            <w:tcW w:type="dxa" w:w="8504"/>
            <w:tcBorders>
              <w:top w:val="none" w:sz="0"/>
              <w:left w:val="none" w:sz="0"/>
              <w:right w:val="none" w:sz="0"/>
              <w:bottom w:val="none" w:sz="0"/>
            </w:tcBorders>
            <w:tcMar>
              <w:top w:w="0" w:type="dxa"/>
              <w:left w:w="0" w:type="dxa"/>
              <w:right w:w="0" w:type="dxa"/>
              <w:bottom w:w="0" w:type="dxa"/>
            </w:tcMar>
          </w:tcPr>
          <w:p>
            <w:pPr>
              <w:spacing w:before="0" w:after="0" w:line="240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"/>
              </w:rPr>
            </w:r>
          </w:p>
          <w:tbl>
            <w:tblPr>
              <w:tblW w:type="auto" w:w="0"/>
              <w:jc w:val="left"/>
              <w:tblLook w:firstColumn="1" w:firstRow="1" w:lastColumn="0" w:lastRow="0" w:noHBand="0" w:noVBand="1" w:val="04A0"/>
            </w:tblPr>
            <w:tblGrid>
              <w:gridCol w:w="4252"/>
              <w:gridCol w:w="4252"/>
            </w:tblGrid>
            <w:tr>
              <w:tc>
                <w:tcPr>
                  <w:tcW w:type="dxa" w:w="1814"/>
                  <w:vAlign w:val="center"/>
                  <w:tcBorders>
                    <w:top w:val="none" w:sz="0"/>
                    <w:left w:val="none" w:sz="0"/>
                    <w:right w:val="none" w:sz="0"/>
                    <w:bottom w:val="none" w:sz="0"/>
                  </w:tcBorders>
                </w:tcPr>
                <w:p>
                  <w:pPr>
                    <w:spacing w:before="20" w:after="20" w:line="264" w:lineRule="auto"/>
                    <w:ind w:firstLine="0"/>
                  </w:pPr>
                  <w:r>
                    <w:rPr>
                      <w:rFonts w:ascii="Times New Roman" w:hAnsi="Times New Roman" w:eastAsia="宋体"/>
                      <w:b w:val="0"/>
                      <w:color w:val="000000"/>
                      <w:sz w:val="24"/>
                    </w:rPr>
                    <w:t>合同名称</w:t>
                  </w:r>
                </w:p>
              </w:tc>
              <w:tc>
                <w:tcPr>
                  <w:tcW w:type="dxa" w:w="6236"/>
                  <w:vAlign w:val="center"/>
                  <w:tcBorders>
                    <w:top w:val="none" w:sz="0"/>
                    <w:left w:val="none" w:sz="0"/>
                    <w:right w:val="none" w:sz="0"/>
                    <w:bottom w:val="none" w:sz="0"/>
                  </w:tcBorders>
                </w:tcPr>
                <w:p>
                  <w:pPr>
                    <w:spacing w:before="20" w:after="20" w:line="264" w:lineRule="auto"/>
                    <w:ind w:firstLine="0"/>
                  </w:pPr>
                  <w:r>
                    <w:rPr>
                      <w:rFonts w:ascii="Times New Roman" w:hAnsi="Times New Roman" w:eastAsia="宋体"/>
                      <w:b/>
                      <w:color w:val="000000"/>
                      <w:sz w:val="24"/>
                    </w:rPr>
                    <w:t>技术服务合同</w:t>
                  </w:r>
                </w:p>
              </w:tc>
            </w:tr>
            <w:tr>
              <w:tc>
                <w:tcPr>
                  <w:tcW w:type="dxa" w:w="1814"/>
                  <w:vAlign w:val="center"/>
                  <w:tcBorders>
                    <w:top w:val="none" w:sz="0"/>
                    <w:left w:val="none" w:sz="0"/>
                    <w:right w:val="none" w:sz="0"/>
                    <w:bottom w:val="none" w:sz="0"/>
                  </w:tcBorders>
                </w:tcPr>
                <w:p>
                  <w:pPr>
                    <w:spacing w:before="20" w:after="20" w:line="264" w:lineRule="auto"/>
                    <w:ind w:firstLine="0"/>
                  </w:pPr>
                  <w:r>
                    <w:rPr>
                      <w:rFonts w:ascii="Times New Roman" w:hAnsi="Times New Roman" w:eastAsia="宋体"/>
                      <w:b w:val="0"/>
                      <w:color w:val="000000"/>
                      <w:sz w:val="24"/>
                    </w:rPr>
                    <w:t>审查编号</w:t>
                  </w:r>
                </w:p>
              </w:tc>
              <w:tc>
                <w:tcPr>
                  <w:tcW w:type="dxa" w:w="6236"/>
                  <w:vAlign w:val="center"/>
                  <w:tcBorders>
                    <w:top w:val="none" w:sz="0"/>
                    <w:left w:val="none" w:sz="0"/>
                    <w:right w:val="none" w:sz="0"/>
                    <w:bottom w:val="none" w:sz="0"/>
                  </w:tcBorders>
                </w:tcPr>
                <w:p>
                  <w:pPr>
                    <w:spacing w:before="20" w:after="20" w:line="264" w:lineRule="auto"/>
                    <w:ind w:firstLine="0"/>
                  </w:pPr>
                  <w:r>
                    <w:rPr>
                      <w:rFonts w:ascii="Times New Roman" w:hAnsi="Times New Roman" w:eastAsia="宋体"/>
                      <w:b/>
                      <w:color w:val="000000"/>
                      <w:sz w:val="24"/>
                    </w:rPr>
                    <w:t>MQC-REV-20260417-001</w:t>
                  </w:r>
                </w:p>
              </w:tc>
            </w:tr>
            <w:tr>
              <w:tc>
                <w:tcPr>
                  <w:tcW w:type="dxa" w:w="1814"/>
                  <w:vAlign w:val="center"/>
                  <w:tcBorders>
                    <w:top w:val="none" w:sz="0"/>
                    <w:left w:val="none" w:sz="0"/>
                    <w:right w:val="none" w:sz="0"/>
                    <w:bottom w:val="none" w:sz="0"/>
                  </w:tcBorders>
                </w:tcPr>
                <w:p>
                  <w:pPr>
                    <w:spacing w:before="20" w:after="20" w:line="264" w:lineRule="auto"/>
                    <w:ind w:firstLine="0"/>
                  </w:pPr>
                  <w:r>
                    <w:rPr>
                      <w:rFonts w:ascii="Times New Roman" w:hAnsi="Times New Roman" w:eastAsia="宋体"/>
                      <w:b w:val="0"/>
                      <w:color w:val="000000"/>
                      <w:sz w:val="24"/>
                    </w:rPr>
                    <w:t>审查立场</w:t>
                  </w:r>
                </w:p>
              </w:tc>
              <w:tc>
                <w:tcPr>
                  <w:tcW w:type="dxa" w:w="6236"/>
                  <w:vAlign w:val="center"/>
                  <w:tcBorders>
                    <w:top w:val="none" w:sz="0"/>
                    <w:left w:val="none" w:sz="0"/>
                    <w:right w:val="none" w:sz="0"/>
                    <w:bottom w:val="none" w:sz="0"/>
                  </w:tcBorders>
                </w:tcPr>
                <w:p>
                  <w:pPr>
                    <w:spacing w:before="20" w:after="20" w:line="264" w:lineRule="auto"/>
                    <w:ind w:firstLine="0"/>
                  </w:pPr>
                  <w:r>
                    <w:rPr>
                      <w:rFonts w:ascii="Times New Roman" w:hAnsi="Times New Roman" w:eastAsia="宋体"/>
                      <w:b/>
                      <w:color w:val="000000"/>
                      <w:sz w:val="24"/>
                    </w:rPr>
                    <w:t>甲方立场</w:t>
                  </w:r>
                </w:p>
              </w:tc>
            </w:tr>
            <w:tr>
              <w:tc>
                <w:tcPr>
                  <w:tcW w:type="dxa" w:w="1814"/>
                  <w:vAlign w:val="center"/>
                  <w:tcBorders>
                    <w:top w:val="none" w:sz="0"/>
                    <w:left w:val="none" w:sz="0"/>
                    <w:right w:val="none" w:sz="0"/>
                    <w:bottom w:val="none" w:sz="0"/>
                  </w:tcBorders>
                </w:tcPr>
                <w:p>
                  <w:pPr>
                    <w:spacing w:before="20" w:after="20" w:line="264" w:lineRule="auto"/>
                    <w:ind w:firstLine="0"/>
                  </w:pPr>
                  <w:r>
                    <w:rPr>
                      <w:rFonts w:ascii="Times New Roman" w:hAnsi="Times New Roman" w:eastAsia="宋体"/>
                      <w:b w:val="0"/>
                      <w:color w:val="000000"/>
                      <w:sz w:val="24"/>
                    </w:rPr>
                    <w:t>谈判事项</w:t>
                  </w:r>
                </w:p>
              </w:tc>
              <w:tc>
                <w:tcPr>
                  <w:tcW w:type="dxa" w:w="6236"/>
                  <w:vAlign w:val="center"/>
                  <w:tcBorders>
                    <w:top w:val="none" w:sz="0"/>
                    <w:left w:val="none" w:sz="0"/>
                    <w:right w:val="none" w:sz="0"/>
                    <w:bottom w:val="none" w:sz="0"/>
                  </w:tcBorders>
                </w:tcPr>
                <w:p>
                  <w:pPr>
                    <w:spacing w:before="20" w:after="20" w:line="264" w:lineRule="auto"/>
                    <w:ind w:firstLine="0"/>
                  </w:pPr>
                  <w:r>
                    <w:rPr>
                      <w:rFonts w:ascii="Times New Roman" w:hAnsi="Times New Roman" w:eastAsia="宋体"/>
                      <w:b/>
                      <w:color w:val="000000"/>
                      <w:sz w:val="24"/>
                    </w:rPr>
                    <w:t>Tier 1 · 2 项   Tier 2 · 2 项   Tier 3 · 2 项</w:t>
                  </w:r>
                </w:p>
              </w:tc>
            </w:tr>
          </w:tbl>
          <w:p/>
        </w:tc>
      </w:tr>
      <w:tr>
        <w:tc>
          <w:tcPr>
            <w:tcW w:type="dxa" w:w="8504"/>
            <w:tcBorders>
              <w:top w:val="none" w:sz="0"/>
              <w:left w:val="none" w:sz="0"/>
              <w:right w:val="none" w:sz="0"/>
              <w:bottom w:val="none" w:sz="0"/>
            </w:tcBorders>
            <w:tcMar>
              <w:top w:w="0" w:type="dxa"/>
              <w:left w:w="0" w:type="dxa"/>
              <w:right w:w="0" w:type="dxa"/>
              <w:bottom w:w="0" w:type="dxa"/>
            </w:tcMar>
          </w:tcPr>
          <w:p>
            <w:pPr>
              <w:spacing w:before="0" w:after="0" w:line="240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"/>
              </w:rPr>
            </w:r>
          </w:p>
          <w:tbl>
            <w:tblPr>
              <w:tblW w:type="auto" w:w="0"/>
              <w:jc w:val="left"/>
              <w:tblLook w:firstColumn="1" w:firstRow="1" w:lastColumn="0" w:lastRow="0" w:noHBand="0" w:noVBand="1" w:val="04A0"/>
            </w:tblPr>
            <w:tblGrid>
              <w:gridCol w:w="8504"/>
            </w:tblGrid>
            <w:tr>
              <w:trPr>
                <w:trHeight w:val="20" w:hRule="exact"/>
              </w:trPr>
              <w:tc>
                <w:tcPr>
                  <w:tcW w:type="dxa" w:w="7937"/>
                  <w:shd w:val="clear" w:color="auto" w:fill="1387C0"/>
                  <w:tcBorders>
                    <w:top w:val="none" w:sz="0"/>
                    <w:left w:val="none" w:sz="0"/>
                    <w:right w:val="none" w:sz="0"/>
                    <w:bottom w:val="none" w:sz="0"/>
                  </w:tcBorders>
                  <w:tcMar>
                    <w:top w:w="0" w:type="dxa"/>
                    <w:left w:w="0" w:type="dxa"/>
                    <w:right w:w="0" w:type="dxa"/>
                    <w:bottom w:w="0" w:type="dxa"/>
                  </w:tcMar>
                </w:tcPr>
                <w:p>
                  <w:pPr>
                    <w:spacing w:before="0" w:after="0" w:line="20" w:lineRule="exact"/>
                    <w:ind w:firstLine="0"/>
                  </w:pPr>
                </w:p>
              </w:tc>
            </w:tr>
          </w:tbl>
          <w:p/>
        </w:tc>
      </w:tr>
      <w:tr>
        <w:tc>
          <w:tcPr>
            <w:tcW w:type="dxa" w:w="8504"/>
            <w:tcBorders>
              <w:top w:val="none" w:sz="0"/>
              <w:left w:val="none" w:sz="0"/>
              <w:right w:val="none" w:sz="0"/>
              <w:bottom w:val="none" w:sz="0"/>
            </w:tcBorders>
            <w:tcMar>
              <w:top w:w="0" w:type="dxa"/>
              <w:left w:w="0" w:type="dxa"/>
              <w:right w:w="0" w:type="dxa"/>
              <w:bottom w:w="0" w:type="dxa"/>
            </w:tcMar>
          </w:tcPr>
          <w:p>
            <w:pPr>
              <w:spacing w:before="0" w:after="0" w:line="240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12"/>
              </w:rPr>
              <w:t xml:space="preserve"> </w:t>
            </w:r>
          </w:p>
        </w:tc>
      </w:tr>
      <w:tr>
        <w:tc>
          <w:tcPr>
            <w:tcW w:type="dxa" w:w="8504"/>
            <w:tcBorders>
              <w:top w:val="none" w:sz="0"/>
              <w:left w:val="none" w:sz="0"/>
              <w:right w:val="none" w:sz="0"/>
              <w:bottom w:val="none" w:sz="0"/>
            </w:tcBorders>
            <w:tcMar>
              <w:top w:w="0" w:type="dxa"/>
              <w:left w:w="0" w:type="dxa"/>
              <w:right w:w="0" w:type="dxa"/>
              <w:bottom w:w="0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LEGAL AI TOOLMAKER  ·  法律工具制造者  |  缪奇川律师 出品</w:t>
            </w:r>
          </w:p>
        </w:tc>
      </w:tr>
    </w:tbl>
    <w:p>
      <w:r>
        <w:br w:type="page"/>
      </w:r>
    </w:p>
    <w:p>
      <w:pPr>
        <w:pStyle w:val="Heading1"/>
        <w:spacing w:line="360" w:lineRule="auto" w:before="320" w:after="160"/>
        <w:ind w:firstLine="482"/>
        <w:jc w:val="both"/>
      </w:pPr>
      <w:r>
        <w:rPr>
          <w:rFonts w:ascii="Times New Roman" w:hAnsi="Times New Roman" w:eastAsia="宋体"/>
          <w:b/>
          <w:color w:val="000000"/>
          <w:sz w:val="32"/>
        </w:rPr>
        <w:t>一、清单概览</w:t>
      </w:r>
    </w:p>
    <w:p>
      <w:pPr>
        <w:spacing w:line="360" w:lineRule="auto" w:before="0" w:after="0"/>
        <w:ind w:firstLine="482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本合同审查共识别出 6 个谈判事项,按优先级分档如下: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3402"/>
            <w:shd w:val="clear" w:color="auto" w:fill="F1F5F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before="60" w:after="6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4"/>
              </w:rPr>
              <w:t>优先级档位</w:t>
            </w:r>
          </w:p>
        </w:tc>
        <w:tc>
          <w:tcPr>
            <w:tcW w:type="dxa" w:w="1701"/>
            <w:shd w:val="clear" w:color="auto" w:fill="F1F5F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before="60" w:after="6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4"/>
              </w:rPr>
              <w:t>事项数</w:t>
            </w:r>
          </w:p>
        </w:tc>
        <w:tc>
          <w:tcPr>
            <w:tcW w:type="dxa" w:w="3969"/>
            <w:shd w:val="clear" w:color="auto" w:fill="F1F5F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before="60" w:after="6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4"/>
              </w:rPr>
              <w:t>建议处理</w:t>
            </w:r>
          </w:p>
        </w:tc>
      </w:tr>
      <w:tr>
        <w:tc>
          <w:tcPr>
            <w:tcW w:type="dxa" w:w="340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before="60" w:after="6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/>
                <w:color w:val="FF0000"/>
                <w:sz w:val="24"/>
              </w:rPr>
              <w:t xml:space="preserve">■ </w:t>
            </w:r>
            <w:r>
              <w:rPr>
                <w:rFonts w:ascii="Times New Roman" w:hAnsi="Times New Roman" w:eastAsia="宋体"/>
                <w:b/>
                <w:color w:val="000000"/>
                <w:sz w:val="24"/>
              </w:rPr>
              <w:t>Tier 1 · 必须回绝</w:t>
            </w:r>
          </w:p>
        </w:tc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before="60" w:after="6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2</w:t>
            </w:r>
          </w:p>
        </w:tc>
        <w:tc>
          <w:tcPr>
            <w:tcW w:type="dxa" w:w="396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before="60" w:after="6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无法让步</w:t>
            </w:r>
          </w:p>
        </w:tc>
      </w:tr>
      <w:tr>
        <w:tc>
          <w:tcPr>
            <w:tcW w:type="dxa" w:w="340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AFC"/>
            <w:vAlign w:val="center"/>
          </w:tcPr>
          <w:p>
            <w:pPr>
              <w:spacing w:before="60" w:after="6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/>
                <w:color w:val="FF9900"/>
                <w:sz w:val="24"/>
              </w:rPr>
              <w:t xml:space="preserve">■ </w:t>
            </w:r>
            <w:r>
              <w:rPr>
                <w:rFonts w:ascii="Times New Roman" w:hAnsi="Times New Roman" w:eastAsia="宋体"/>
                <w:b/>
                <w:color w:val="000000"/>
                <w:sz w:val="24"/>
              </w:rPr>
              <w:t>Tier 2 · 建议协商</w:t>
            </w:r>
          </w:p>
        </w:tc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AFC"/>
            <w:vAlign w:val="center"/>
          </w:tcPr>
          <w:p>
            <w:pPr>
              <w:spacing w:before="60" w:after="6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2</w:t>
            </w:r>
          </w:p>
        </w:tc>
        <w:tc>
          <w:tcPr>
            <w:tcW w:type="dxa" w:w="396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AFC"/>
            <w:vAlign w:val="center"/>
          </w:tcPr>
          <w:p>
            <w:pPr>
              <w:spacing w:before="60" w:after="6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重点争取</w:t>
            </w:r>
          </w:p>
        </w:tc>
      </w:tr>
      <w:tr>
        <w:tc>
          <w:tcPr>
            <w:tcW w:type="dxa" w:w="340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before="60" w:after="6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/>
                <w:color w:val="00A650"/>
                <w:sz w:val="24"/>
              </w:rPr>
              <w:t xml:space="preserve">■ </w:t>
            </w:r>
            <w:r>
              <w:rPr>
                <w:rFonts w:ascii="Times New Roman" w:hAnsi="Times New Roman" w:eastAsia="宋体"/>
                <w:b/>
                <w:color w:val="000000"/>
                <w:sz w:val="24"/>
              </w:rPr>
              <w:t>Tier 3 · 可以接受</w:t>
            </w:r>
          </w:p>
        </w:tc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before="60" w:after="6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2</w:t>
            </w:r>
          </w:p>
        </w:tc>
        <w:tc>
          <w:tcPr>
            <w:tcW w:type="dxa" w:w="396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before="60" w:after="6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作让步筹码</w:t>
            </w:r>
          </w:p>
        </w:tc>
      </w:tr>
    </w:tbl>
    <w:p>
      <w:pPr>
        <w:spacing w:line="360" w:lineRule="auto" w:before="0" w:after="0"/>
        <w:ind w:firstLine="482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使用说明:</w:t>
      </w:r>
    </w:p>
    <w:p>
      <w:pPr>
        <w:spacing w:line="360" w:lineRule="auto" w:before="0" w:after="0"/>
        <w:ind w:firstLine="482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本清单与同目录下《审查报告》配套使用。每个 Tier 1 / Tier 2 条目都标注了对应的审查报告风险编号(如"风险 01")和 checklist 稳定 ID,便于交叉追溯。谈判时应按 Tier 1 → Tier 2 → Tier 3 的顺序推进,Tier 3 作为换取 Tier 2 让步的筹码。</w:t>
      </w:r>
    </w:p>
    <w:p>
      <w:pPr>
        <w:pStyle w:val="Heading1"/>
        <w:spacing w:line="360" w:lineRule="auto" w:before="320" w:after="160"/>
        <w:ind w:firstLine="482"/>
        <w:jc w:val="both"/>
      </w:pPr>
      <w:r>
        <w:rPr>
          <w:rFonts w:ascii="Times New Roman" w:hAnsi="Times New Roman" w:eastAsia="宋体"/>
          <w:b/>
          <w:color w:val="000000"/>
          <w:sz w:val="32"/>
        </w:rPr>
        <w:t>二、Tier 1 · 必须回绝(Deal Breaker)</w:t>
      </w:r>
    </w:p>
    <w:p>
      <w:pPr>
        <w:spacing w:line="360" w:lineRule="auto" w:before="0" w:after="0"/>
        <w:ind w:firstLine="482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不解决则不能签约。不可作为让步筹码。</w:t>
      </w:r>
    </w:p>
    <w:p>
      <w:pPr>
        <w:spacing w:before="320" w:after="80"/>
      </w:pPr>
      <w:r>
        <w:rPr>
          <w:rFonts w:ascii="Times New Roman" w:hAnsi="Times New Roman" w:eastAsia="宋体"/>
          <w:b/>
          <w:color w:val="000000"/>
          <w:sz w:val="28"/>
        </w:rPr>
        <w:t xml:space="preserve">Tier 1-01   </w:t>
      </w:r>
      <w:r>
        <w:rPr>
          <w:rFonts w:ascii="Times New Roman" w:hAnsi="Times New Roman" w:eastAsia="宋体"/>
          <w:b/>
          <w:color w:val="FF0000"/>
          <w:sz w:val="28"/>
        </w:rPr>
        <w:t xml:space="preserve">■  </w:t>
      </w:r>
      <w:r>
        <w:rPr>
          <w:rFonts w:ascii="Times New Roman" w:hAnsi="Times New Roman" w:eastAsia="宋体"/>
          <w:b/>
          <w:color w:val="000000"/>
          <w:sz w:val="28"/>
        </w:rPr>
        <w:t>要求删除乙方无限连带责任条款</w:t>
      </w:r>
    </w:p>
    <w:p>
      <w:pPr>
        <w:spacing w:line="360" w:lineRule="auto" w:before="0" w:after="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对应审查报告:风险 01  ·  对应清单:C025  ·  规则来源:标准清单</w:t>
      </w:r>
    </w:p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4252"/>
            <w:shd w:val="clear" w:color="auto" w:fill="F1F5F9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line="276" w:lineRule="auto" w:before="80" w:after="8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4"/>
              </w:rPr>
              <w:t>条款原文</w:t>
            </w:r>
          </w:p>
        </w:tc>
        <w:tc>
          <w:tcPr>
            <w:tcW w:type="dxa" w:w="4252"/>
            <w:shd w:val="clear" w:color="auto" w:fill="F1F5F9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line="276" w:lineRule="auto" w:before="80" w:after="8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4"/>
              </w:rPr>
              <w:t>修改建议</w:t>
            </w:r>
          </w:p>
        </w:tc>
      </w:tr>
      <w:tr>
        <w:tc>
          <w:tcPr>
            <w:tcW w:type="dxa" w:w="42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line="276" w:lineRule="auto" w:before="80" w:after="8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乙方应就本合同项下任何违约行为向甲方承担无限连带责任，该责任不受本合同其他条款关于责任上限的约定限制。</w:t>
            </w:r>
          </w:p>
        </w:tc>
        <w:tc>
          <w:tcPr>
            <w:tcW w:type="dxa" w:w="42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line="276" w:lineRule="auto" w:before="80" w:after="8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乙方应就本合同项下</w:t>
            </w:r>
            <w:r>
              <w:rPr>
                <w:rFonts w:ascii="Times New Roman" w:hAnsi="Times New Roman" w:eastAsia="宋体"/>
                <w:b w:val="0"/>
                <w:color w:val="EE0000"/>
                <w:sz w:val="24"/>
              </w:rPr>
              <w:t>因其过错违反本合同导致甲方损失的行为</w:t>
            </w: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承担赔偿责任。</w:t>
            </w:r>
            <w:r>
              <w:rPr>
                <w:rFonts w:ascii="Times New Roman" w:hAnsi="Times New Roman" w:eastAsia="宋体"/>
                <w:b w:val="0"/>
                <w:color w:val="EE0000"/>
                <w:sz w:val="24"/>
              </w:rPr>
              <w:t>除故意或重大过失外，乙方的赔偿责任总额以本合同总金额为上限</w:t>
            </w: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。</w:t>
            </w:r>
          </w:p>
        </w:tc>
      </w:tr>
      <w:tr>
        <w:tc>
          <w:tcPr>
            <w:tcW w:type="dxa" w:w="8504"/>
            <w:gridSpan w:val="2"/>
            <w:shd w:val="clear" w:color="auto" w:fill="F1F5F9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line="276" w:lineRule="auto" w:before="80" w:after="8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4"/>
              </w:rPr>
              <w:t>谈判话术</w:t>
            </w:r>
          </w:p>
        </w:tc>
      </w:tr>
      <w:tr>
        <w:tc>
          <w:tcPr>
            <w:tcW w:type="dxa" w:w="8504"/>
            <w:gridSpan w:val="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line="276" w:lineRule="auto" w:before="80" w:after="8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(1) 无限连带责任在行业内属于非标准条款,正规合同极少使用  (2) 本合同已有明确的违约金条款,无需叠加无限连带责任  (3) 过大的责任超出合理商业风险范围,法院通常会部分否认</w:t>
            </w:r>
          </w:p>
        </w:tc>
      </w:tr>
    </w:tbl>
    <w:p>
      <w:pPr>
        <w:spacing w:line="360" w:lineRule="auto" w:before="120" w:after="0"/>
        <w:jc w:val="both"/>
      </w:pPr>
      <w:r>
        <w:rPr>
          <w:rFonts w:ascii="Times New Roman" w:hAnsi="Times New Roman" w:eastAsia="宋体"/>
          <w:b/>
          <w:color w:val="000000"/>
          <w:sz w:val="24"/>
        </w:rPr>
        <w:t>对方可能反驳:</w:t>
      </w:r>
      <w:r>
        <w:rPr>
          <w:rFonts w:ascii="Times New Roman" w:hAnsi="Times New Roman" w:eastAsia="宋体"/>
          <w:b w:val="0"/>
          <w:color w:val="000000"/>
          <w:sz w:val="24"/>
        </w:rPr>
        <w:t>我方对乙方履约能力有顾虑,希望设置更强的约束 / 这是我方标准合同模板,难以变更</w:t>
      </w:r>
    </w:p>
    <w:p>
      <w:pPr>
        <w:spacing w:line="360" w:lineRule="auto" w:before="0" w:after="0"/>
        <w:jc w:val="both"/>
      </w:pPr>
      <w:r>
        <w:rPr>
          <w:rFonts w:ascii="Times New Roman" w:hAnsi="Times New Roman" w:eastAsia="宋体"/>
          <w:b/>
          <w:color w:val="000000"/>
          <w:sz w:val="24"/>
        </w:rPr>
        <w:t>应对要点:</w:t>
      </w:r>
      <w:r>
        <w:rPr>
          <w:rFonts w:ascii="Times New Roman" w:hAnsi="Times New Roman" w:eastAsia="宋体"/>
          <w:b w:val="0"/>
          <w:color w:val="000000"/>
          <w:sz w:val="24"/>
        </w:rPr>
        <w:t>履约能力可通过尽调、预付款比例、保证金等机制控制,而非加重赔偿责任 / 模板可以针对重大交易调整,无限连带责任在司法实务中难以获得法院支持</w:t>
      </w:r>
    </w:p>
    <w:p>
      <w:pPr>
        <w:spacing w:line="360" w:lineRule="auto" w:before="0" w:after="0"/>
        <w:jc w:val="both"/>
      </w:pPr>
      <w:r>
        <w:rPr>
          <w:rFonts w:ascii="Times New Roman" w:hAnsi="Times New Roman" w:eastAsia="宋体"/>
          <w:b/>
          <w:color w:val="000000"/>
          <w:sz w:val="24"/>
        </w:rPr>
        <w:t>Plan B 对冲方案:</w:t>
      </w:r>
      <w:r>
        <w:rPr>
          <w:rFonts w:ascii="Times New Roman" w:hAnsi="Times New Roman" w:eastAsia="宋体"/>
          <w:b w:val="0"/>
          <w:color w:val="000000"/>
          <w:sz w:val="24"/>
        </w:rPr>
        <w:t>如对方坚持保留无限连带,则要求</w:t>
      </w:r>
      <w:r>
        <w:rPr>
          <w:rFonts w:ascii="Times New Roman" w:hAnsi="Times New Roman" w:eastAsia="宋体"/>
          <w:b w:val="0"/>
          <w:color w:val="EE0000"/>
          <w:sz w:val="24"/>
        </w:rPr>
        <w:t>同步降低合同金额 20% 作为风险对价</w:t>
      </w:r>
      <w:r>
        <w:rPr>
          <w:rFonts w:ascii="Times New Roman" w:hAnsi="Times New Roman" w:eastAsia="宋体"/>
          <w:b w:val="0"/>
          <w:color w:val="000000"/>
          <w:sz w:val="24"/>
        </w:rPr>
        <w:t>,或</w:t>
      </w:r>
      <w:r>
        <w:rPr>
          <w:rFonts w:ascii="Times New Roman" w:hAnsi="Times New Roman" w:eastAsia="宋体"/>
          <w:b w:val="0"/>
          <w:color w:val="EE0000"/>
          <w:sz w:val="24"/>
        </w:rPr>
        <w:t>引入第三方履约保险</w:t>
      </w:r>
      <w:r>
        <w:rPr>
          <w:rFonts w:ascii="Times New Roman" w:hAnsi="Times New Roman" w:eastAsia="宋体"/>
          <w:b w:val="0"/>
          <w:color w:val="000000"/>
          <w:sz w:val="24"/>
        </w:rPr>
        <w:t>对冲风险敞口。如两项均无法实现,建议委托方放弃本次交易。</w:t>
      </w:r>
    </w:p>
    <w:p>
      <w:pPr>
        <w:spacing w:before="160"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6"/>
      </w:tblGrid>
      <w:tr>
        <w:tc>
          <w:tcPr>
            <w:tcW w:type="dxa" w:w="9071"/>
            <w:tcBorders>
              <w:top w:val="none" w:sz="0"/>
              <w:left w:val="none" w:sz="0"/>
              <w:right w:val="none" w:sz="0"/>
              <w:bottom w:val="single" w:sz="6" w:space="0" w:color="E0E0E0"/>
            </w:tcBorders>
          </w:tcPr>
          <w:p>
            <w:r/>
          </w:p>
        </w:tc>
      </w:tr>
    </w:tbl>
    <w:p>
      <w:pPr>
        <w:spacing w:before="320" w:after="80"/>
      </w:pPr>
      <w:r>
        <w:rPr>
          <w:rFonts w:ascii="Times New Roman" w:hAnsi="Times New Roman" w:eastAsia="宋体"/>
          <w:b/>
          <w:color w:val="000000"/>
          <w:sz w:val="28"/>
        </w:rPr>
        <w:t xml:space="preserve">Tier 1-02   </w:t>
      </w:r>
      <w:r>
        <w:rPr>
          <w:rFonts w:ascii="Times New Roman" w:hAnsi="Times New Roman" w:eastAsia="宋体"/>
          <w:b/>
          <w:color w:val="FF0000"/>
          <w:sz w:val="28"/>
        </w:rPr>
        <w:t xml:space="preserve">■  </w:t>
      </w:r>
      <w:r>
        <w:rPr>
          <w:rFonts w:ascii="Times New Roman" w:hAnsi="Times New Roman" w:eastAsia="宋体"/>
          <w:b/>
          <w:color w:val="000000"/>
          <w:sz w:val="28"/>
        </w:rPr>
        <w:t>修正大小写金额不一致</w:t>
      </w:r>
    </w:p>
    <w:p>
      <w:pPr>
        <w:spacing w:line="360" w:lineRule="auto" w:before="0" w:after="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对应审查报告:风险 02  ·  对应清单:C010  ·  规则来源:标准清单</w:t>
      </w:r>
    </w:p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4252"/>
            <w:shd w:val="clear" w:color="auto" w:fill="F1F5F9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line="276" w:lineRule="auto" w:before="80" w:after="8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4"/>
              </w:rPr>
              <w:t>条款原文</w:t>
            </w:r>
          </w:p>
        </w:tc>
        <w:tc>
          <w:tcPr>
            <w:tcW w:type="dxa" w:w="4252"/>
            <w:shd w:val="clear" w:color="auto" w:fill="F1F5F9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line="276" w:lineRule="auto" w:before="80" w:after="8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4"/>
              </w:rPr>
              <w:t>修改建议</w:t>
            </w:r>
          </w:p>
        </w:tc>
      </w:tr>
      <w:tr>
        <w:tc>
          <w:tcPr>
            <w:tcW w:type="dxa" w:w="42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line="276" w:lineRule="auto" w:before="80" w:after="8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本合同总金额为人民币 860,000 元（大写:柒拾陆万元整），含 13% 增值税。</w:t>
            </w:r>
          </w:p>
        </w:tc>
        <w:tc>
          <w:tcPr>
            <w:tcW w:type="dxa" w:w="42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line="276" w:lineRule="auto" w:before="80" w:after="8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本合同总金额为人民币 860,000.00 元（大写:</w:t>
            </w:r>
            <w:r>
              <w:rPr>
                <w:rFonts w:ascii="Times New Roman" w:hAnsi="Times New Roman" w:eastAsia="宋体"/>
                <w:b w:val="0"/>
                <w:color w:val="EE0000"/>
                <w:sz w:val="24"/>
              </w:rPr>
              <w:t>捌拾陆万元整</w:t>
            </w: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），含 13% 增值税。</w:t>
            </w:r>
          </w:p>
        </w:tc>
      </w:tr>
      <w:tr>
        <w:tc>
          <w:tcPr>
            <w:tcW w:type="dxa" w:w="8504"/>
            <w:gridSpan w:val="2"/>
            <w:shd w:val="clear" w:color="auto" w:fill="F1F5F9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line="276" w:lineRule="auto" w:before="80" w:after="8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4"/>
              </w:rPr>
              <w:t>谈判话术</w:t>
            </w:r>
          </w:p>
        </w:tc>
      </w:tr>
      <w:tr>
        <w:tc>
          <w:tcPr>
            <w:tcW w:type="dxa" w:w="8504"/>
            <w:gridSpan w:val="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line="276" w:lineRule="auto" w:before="80" w:after="8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(1) 大小写金额不一致是基础性瑕疵,必须修正  (2) 按民法典第 498 条,争议时法院倾向于作出对格式条款一方不利的解释</w:t>
            </w:r>
          </w:p>
        </w:tc>
      </w:tr>
    </w:tbl>
    <w:p>
      <w:pPr>
        <w:spacing w:line="360" w:lineRule="auto" w:before="120" w:after="0"/>
        <w:jc w:val="both"/>
      </w:pPr>
      <w:r>
        <w:rPr>
          <w:rFonts w:ascii="Times New Roman" w:hAnsi="Times New Roman" w:eastAsia="宋体"/>
          <w:b/>
          <w:color w:val="000000"/>
          <w:sz w:val="24"/>
        </w:rPr>
        <w:t>对方可能反驳:</w:t>
      </w:r>
      <w:r>
        <w:rPr>
          <w:rFonts w:ascii="Times New Roman" w:hAnsi="Times New Roman" w:eastAsia="宋体"/>
          <w:b w:val="0"/>
          <w:color w:val="000000"/>
          <w:sz w:val="24"/>
        </w:rPr>
        <w:t>这是笔误,以小写金额为准即可,无须修改合同。</w:t>
      </w:r>
    </w:p>
    <w:p>
      <w:pPr>
        <w:spacing w:line="360" w:lineRule="auto" w:before="0" w:after="0"/>
        <w:jc w:val="both"/>
      </w:pPr>
      <w:r>
        <w:rPr>
          <w:rFonts w:ascii="Times New Roman" w:hAnsi="Times New Roman" w:eastAsia="宋体"/>
          <w:b/>
          <w:color w:val="000000"/>
          <w:sz w:val="24"/>
        </w:rPr>
        <w:t>应对要点:</w:t>
      </w:r>
      <w:r>
        <w:rPr>
          <w:rFonts w:ascii="Times New Roman" w:hAnsi="Times New Roman" w:eastAsia="宋体"/>
          <w:b w:val="0"/>
          <w:color w:val="000000"/>
          <w:sz w:val="24"/>
        </w:rPr>
        <w:t>司法实务中,对于金额不一致的处理并无统一规则,必须在合同中明确修正,不能口头约定。</w:t>
      </w:r>
    </w:p>
    <w:p>
      <w:pPr>
        <w:spacing w:line="360" w:lineRule="auto" w:before="0" w:after="0"/>
        <w:jc w:val="both"/>
      </w:pPr>
      <w:r>
        <w:rPr>
          <w:rFonts w:ascii="Times New Roman" w:hAnsi="Times New Roman" w:eastAsia="宋体"/>
          <w:b/>
          <w:color w:val="000000"/>
          <w:sz w:val="24"/>
        </w:rPr>
        <w:t>Plan B 对冲方案:</w:t>
      </w:r>
      <w:r>
        <w:rPr>
          <w:rFonts w:ascii="Times New Roman" w:hAnsi="Times New Roman" w:eastAsia="宋体"/>
          <w:b w:val="0"/>
          <w:color w:val="000000"/>
          <w:sz w:val="24"/>
        </w:rPr>
        <w:t>如对方拒绝修正,</w:t>
      </w:r>
      <w:r>
        <w:rPr>
          <w:rFonts w:ascii="Times New Roman" w:hAnsi="Times New Roman" w:eastAsia="宋体"/>
          <w:b w:val="0"/>
          <w:color w:val="EE0000"/>
          <w:sz w:val="24"/>
        </w:rPr>
        <w:t>直接视为合同存在重大瑕疵</w:t>
      </w:r>
      <w:r>
        <w:rPr>
          <w:rFonts w:ascii="Times New Roman" w:hAnsi="Times New Roman" w:eastAsia="宋体"/>
          <w:b w:val="0"/>
          <w:color w:val="000000"/>
          <w:sz w:val="24"/>
        </w:rPr>
        <w:t>,暂停签署流程并升级到委托方决策层。</w:t>
      </w:r>
    </w:p>
    <w:p>
      <w:pPr>
        <w:spacing w:before="160"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6"/>
      </w:tblGrid>
      <w:tr>
        <w:tc>
          <w:tcPr>
            <w:tcW w:type="dxa" w:w="9071"/>
            <w:tcBorders>
              <w:top w:val="none" w:sz="0"/>
              <w:left w:val="none" w:sz="0"/>
              <w:right w:val="none" w:sz="0"/>
              <w:bottom w:val="single" w:sz="6" w:space="0" w:color="E0E0E0"/>
            </w:tcBorders>
          </w:tcPr>
          <w:p>
            <w:r/>
          </w:p>
        </w:tc>
      </w:tr>
    </w:tbl>
    <w:p>
      <w:pPr>
        <w:pStyle w:val="Heading1"/>
        <w:spacing w:line="360" w:lineRule="auto" w:before="320" w:after="160"/>
        <w:ind w:firstLine="482"/>
        <w:jc w:val="both"/>
      </w:pPr>
      <w:r>
        <w:rPr>
          <w:rFonts w:ascii="Times New Roman" w:hAnsi="Times New Roman" w:eastAsia="宋体"/>
          <w:b/>
          <w:color w:val="000000"/>
          <w:sz w:val="32"/>
        </w:rPr>
        <w:t>三、Tier 2 · 建议协商</w:t>
      </w:r>
    </w:p>
    <w:p>
      <w:pPr>
        <w:spacing w:line="360" w:lineRule="auto" w:before="0" w:after="0"/>
        <w:ind w:firstLine="482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重点争取修改,但最终可接受折中方案。</w:t>
      </w:r>
    </w:p>
    <w:p>
      <w:pPr>
        <w:spacing w:before="320" w:after="80"/>
      </w:pPr>
      <w:r>
        <w:rPr>
          <w:rFonts w:ascii="Times New Roman" w:hAnsi="Times New Roman" w:eastAsia="宋体"/>
          <w:b/>
          <w:color w:val="000000"/>
          <w:sz w:val="28"/>
        </w:rPr>
        <w:t xml:space="preserve">Tier 2-01   </w:t>
      </w:r>
      <w:r>
        <w:rPr>
          <w:rFonts w:ascii="Times New Roman" w:hAnsi="Times New Roman" w:eastAsia="宋体"/>
          <w:b/>
          <w:color w:val="FF9900"/>
          <w:sz w:val="28"/>
        </w:rPr>
        <w:t xml:space="preserve">■  </w:t>
      </w:r>
      <w:r>
        <w:rPr>
          <w:rFonts w:ascii="Times New Roman" w:hAnsi="Times New Roman" w:eastAsia="宋体"/>
          <w:b/>
          <w:color w:val="000000"/>
          <w:sz w:val="28"/>
        </w:rPr>
        <w:t>违约金比例调整至 15%</w:t>
      </w:r>
    </w:p>
    <w:p>
      <w:pPr>
        <w:spacing w:line="360" w:lineRule="auto" w:before="0" w:after="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对应审查报告:风险 03  ·  对应清单:C021  ·  规则来源:标准清单</w:t>
      </w:r>
    </w:p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4252"/>
            <w:shd w:val="clear" w:color="auto" w:fill="F1F5F9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line="276" w:lineRule="auto" w:before="80" w:after="8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4"/>
              </w:rPr>
              <w:t>条款原文</w:t>
            </w:r>
          </w:p>
        </w:tc>
        <w:tc>
          <w:tcPr>
            <w:tcW w:type="dxa" w:w="4252"/>
            <w:shd w:val="clear" w:color="auto" w:fill="F1F5F9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line="276" w:lineRule="auto" w:before="80" w:after="8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4"/>
              </w:rPr>
              <w:t>修改建议</w:t>
            </w:r>
          </w:p>
        </w:tc>
      </w:tr>
      <w:tr>
        <w:tc>
          <w:tcPr>
            <w:tcW w:type="dxa" w:w="42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line="276" w:lineRule="auto" w:before="80" w:after="8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任何一方违反本合同约定的，违约方应当向守约方支付本合同总金额 35% 的违约金。</w:t>
            </w:r>
          </w:p>
        </w:tc>
        <w:tc>
          <w:tcPr>
            <w:tcW w:type="dxa" w:w="42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line="276" w:lineRule="auto" w:before="80" w:after="8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 xml:space="preserve">违约方应当向守约方支付本合同总金额 </w:t>
            </w:r>
            <w:r>
              <w:rPr>
                <w:rFonts w:ascii="Times New Roman" w:hAnsi="Times New Roman" w:eastAsia="宋体"/>
                <w:b w:val="0"/>
                <w:color w:val="EE0000"/>
                <w:sz w:val="24"/>
              </w:rPr>
              <w:t>15%</w:t>
            </w: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 xml:space="preserve"> 的违约金。（第 8.2 条实际损失超出部分继续赔偿的约定维持不变）</w:t>
            </w:r>
          </w:p>
        </w:tc>
      </w:tr>
      <w:tr>
        <w:tc>
          <w:tcPr>
            <w:tcW w:type="dxa" w:w="8504"/>
            <w:gridSpan w:val="2"/>
            <w:shd w:val="clear" w:color="auto" w:fill="F1F5F9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line="276" w:lineRule="auto" w:before="80" w:after="8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4"/>
              </w:rPr>
              <w:t>谈判话术</w:t>
            </w:r>
          </w:p>
        </w:tc>
      </w:tr>
      <w:tr>
        <w:tc>
          <w:tcPr>
            <w:tcW w:type="dxa" w:w="8504"/>
            <w:gridSpan w:val="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line="276" w:lineRule="auto" w:before="80" w:after="8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(1) 35% 违约金接近民法典第 585 条"过分高于损失"的酌减标准  (2) 15% 是行业服务合同的常见水平,双方接受度高  (3) 结合"实际损失超出可继续索赔"的兜底条款,既控制风险又保留求偿权</w:t>
            </w:r>
          </w:p>
        </w:tc>
      </w:tr>
    </w:tbl>
    <w:p>
      <w:pPr>
        <w:spacing w:line="360" w:lineRule="auto" w:before="120" w:after="0"/>
        <w:jc w:val="both"/>
      </w:pPr>
      <w:r>
        <w:rPr>
          <w:rFonts w:ascii="Times New Roman" w:hAnsi="Times New Roman" w:eastAsia="宋体"/>
          <w:b/>
          <w:color w:val="000000"/>
          <w:sz w:val="24"/>
        </w:rPr>
        <w:t>对方可能反驳:</w:t>
      </w:r>
      <w:r>
        <w:rPr>
          <w:rFonts w:ascii="Times New Roman" w:hAnsi="Times New Roman" w:eastAsia="宋体"/>
          <w:b w:val="0"/>
          <w:color w:val="000000"/>
          <w:sz w:val="24"/>
        </w:rPr>
        <w:t>35% 是对严重违约的威慑设计,降到 15% 保护力度不够。</w:t>
      </w:r>
    </w:p>
    <w:p>
      <w:pPr>
        <w:spacing w:line="360" w:lineRule="auto" w:before="0" w:after="0"/>
        <w:jc w:val="both"/>
      </w:pPr>
      <w:r>
        <w:rPr>
          <w:rFonts w:ascii="Times New Roman" w:hAnsi="Times New Roman" w:eastAsia="宋体"/>
          <w:b/>
          <w:color w:val="000000"/>
          <w:sz w:val="24"/>
        </w:rPr>
        <w:t>应对要点:</w:t>
      </w:r>
      <w:r>
        <w:rPr>
          <w:rFonts w:ascii="Times New Roman" w:hAnsi="Times New Roman" w:eastAsia="宋体"/>
          <w:b w:val="0"/>
          <w:color w:val="000000"/>
          <w:sz w:val="24"/>
        </w:rPr>
        <w:t>威慑效果取决于违约金是否可被司法支持,35% 在实际纠纷中往往被酌减到 20% 以下,形式上的 35% 并不能增加实际保护。</w:t>
      </w:r>
    </w:p>
    <w:p>
      <w:pPr>
        <w:spacing w:line="360" w:lineRule="auto" w:before="0" w:after="0"/>
        <w:jc w:val="both"/>
      </w:pPr>
      <w:r>
        <w:rPr>
          <w:rFonts w:ascii="Times New Roman" w:hAnsi="Times New Roman" w:eastAsia="宋体"/>
          <w:b/>
          <w:color w:val="000000"/>
          <w:sz w:val="24"/>
        </w:rPr>
        <w:t>底线:</w:t>
      </w:r>
      <w:r>
        <w:rPr>
          <w:rFonts w:ascii="Times New Roman" w:hAnsi="Times New Roman" w:eastAsia="宋体"/>
          <w:b w:val="0"/>
          <w:color w:val="000000"/>
          <w:sz w:val="24"/>
        </w:rPr>
        <w:t>最低可接受 20%,不能再高</w:t>
      </w:r>
    </w:p>
    <w:p>
      <w:pPr>
        <w:spacing w:before="160"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6"/>
      </w:tblGrid>
      <w:tr>
        <w:tc>
          <w:tcPr>
            <w:tcW w:type="dxa" w:w="9071"/>
            <w:tcBorders>
              <w:top w:val="none" w:sz="0"/>
              <w:left w:val="none" w:sz="0"/>
              <w:right w:val="none" w:sz="0"/>
              <w:bottom w:val="single" w:sz="6" w:space="0" w:color="E0E0E0"/>
            </w:tcBorders>
          </w:tcPr>
          <w:p>
            <w:r/>
          </w:p>
        </w:tc>
      </w:tr>
    </w:tbl>
    <w:p>
      <w:pPr>
        <w:spacing w:before="320" w:after="80"/>
      </w:pPr>
      <w:r>
        <w:rPr>
          <w:rFonts w:ascii="Times New Roman" w:hAnsi="Times New Roman" w:eastAsia="宋体"/>
          <w:b/>
          <w:color w:val="000000"/>
          <w:sz w:val="28"/>
        </w:rPr>
        <w:t xml:space="preserve">Tier 2-02   </w:t>
      </w:r>
      <w:r>
        <w:rPr>
          <w:rFonts w:ascii="Times New Roman" w:hAnsi="Times New Roman" w:eastAsia="宋体"/>
          <w:b/>
          <w:color w:val="FF9900"/>
          <w:sz w:val="28"/>
        </w:rPr>
        <w:t xml:space="preserve">■  </w:t>
      </w:r>
      <w:r>
        <w:rPr>
          <w:rFonts w:ascii="Times New Roman" w:hAnsi="Times New Roman" w:eastAsia="宋体"/>
          <w:b/>
          <w:color w:val="000000"/>
          <w:sz w:val="28"/>
        </w:rPr>
        <w:t>双方逾期违约金标准对等化并回归合理日率</w:t>
      </w:r>
    </w:p>
    <w:p>
      <w:pPr>
        <w:spacing w:line="360" w:lineRule="auto" w:before="0" w:after="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对应审查报告:风险 04  ·  对应清单:C022  ·  规则来源:Playbook 覆盖</w:t>
      </w:r>
    </w:p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4252"/>
            <w:shd w:val="clear" w:color="auto" w:fill="F1F5F9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line="276" w:lineRule="auto" w:before="80" w:after="8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4"/>
              </w:rPr>
              <w:t>条款原文</w:t>
            </w:r>
          </w:p>
        </w:tc>
        <w:tc>
          <w:tcPr>
            <w:tcW w:type="dxa" w:w="4252"/>
            <w:shd w:val="clear" w:color="auto" w:fill="F1F5F9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line="276" w:lineRule="auto" w:before="80" w:after="8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4"/>
              </w:rPr>
              <w:t>修改建议</w:t>
            </w:r>
          </w:p>
        </w:tc>
      </w:tr>
      <w:tr>
        <w:tc>
          <w:tcPr>
            <w:tcW w:type="dxa" w:w="42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line="276" w:lineRule="auto" w:before="80" w:after="8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甲方逾期支付款项的，每逾期一日，按未付款项的 5% 向乙方支付违约金;乙方逾期交付的，每逾期一日，按合同总金额的 20% 向甲方支付违约金。</w:t>
            </w:r>
          </w:p>
        </w:tc>
        <w:tc>
          <w:tcPr>
            <w:tcW w:type="dxa" w:w="42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line="276" w:lineRule="auto" w:before="80" w:after="8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EE0000"/>
                <w:sz w:val="24"/>
              </w:rPr>
              <w:t>任何一方逾期履行本合同项下付款或交付义务的，每逾期一日，按相应未履行部分金额的万分之五向守约方支付违约金</w:t>
            </w: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。</w:t>
            </w:r>
          </w:p>
        </w:tc>
      </w:tr>
      <w:tr>
        <w:tc>
          <w:tcPr>
            <w:tcW w:type="dxa" w:w="8504"/>
            <w:gridSpan w:val="2"/>
            <w:shd w:val="clear" w:color="auto" w:fill="F1F5F9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line="276" w:lineRule="auto" w:before="80" w:after="8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4"/>
              </w:rPr>
              <w:t>谈判话术</w:t>
            </w:r>
          </w:p>
        </w:tc>
      </w:tr>
      <w:tr>
        <w:tc>
          <w:tcPr>
            <w:tcW w:type="dxa" w:w="8504"/>
            <w:gridSpan w:val="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line="276" w:lineRule="auto" w:before="80" w:after="8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(1) 4 倍差距的不对等条款在司法实务中容易被认定为显失公平  (2) 日 5% 与日 20% 的计罚标准远超司法实践支持的日万分之三至万分之五区间，形式上的高额约定在诉讼中难以兑现  (3) 标准合同通常采用对等且合理的逾期违约金日率</w:t>
            </w:r>
          </w:p>
        </w:tc>
      </w:tr>
    </w:tbl>
    <w:p>
      <w:pPr>
        <w:spacing w:line="360" w:lineRule="auto" w:before="120" w:after="0"/>
        <w:jc w:val="both"/>
      </w:pPr>
      <w:r>
        <w:rPr>
          <w:rFonts w:ascii="Times New Roman" w:hAnsi="Times New Roman" w:eastAsia="宋体"/>
          <w:b/>
          <w:color w:val="000000"/>
          <w:sz w:val="24"/>
        </w:rPr>
        <w:t>对方可能反驳:</w:t>
      </w:r>
      <w:r>
        <w:rPr>
          <w:rFonts w:ascii="Times New Roman" w:hAnsi="Times New Roman" w:eastAsia="宋体"/>
          <w:b w:val="0"/>
          <w:color w:val="000000"/>
          <w:sz w:val="24"/>
        </w:rPr>
        <w:t>我方作为服务接受方,更需要违约保障,不对等有合理性。</w:t>
      </w:r>
    </w:p>
    <w:p>
      <w:pPr>
        <w:spacing w:line="360" w:lineRule="auto" w:before="0" w:after="0"/>
        <w:jc w:val="both"/>
      </w:pPr>
      <w:r>
        <w:rPr>
          <w:rFonts w:ascii="Times New Roman" w:hAnsi="Times New Roman" w:eastAsia="宋体"/>
          <w:b/>
          <w:color w:val="000000"/>
          <w:sz w:val="24"/>
        </w:rPr>
        <w:t>应对要点:</w:t>
      </w:r>
      <w:r>
        <w:rPr>
          <w:rFonts w:ascii="Times New Roman" w:hAnsi="Times New Roman" w:eastAsia="宋体"/>
          <w:b w:val="0"/>
          <w:color w:val="000000"/>
          <w:sz w:val="24"/>
        </w:rPr>
        <w:t>合理的保障是通过预付款、质保金、竞业限制等机制实现,而非违约金差额。</w:t>
      </w:r>
    </w:p>
    <w:p>
      <w:pPr>
        <w:spacing w:line="360" w:lineRule="auto" w:before="0" w:after="0"/>
        <w:jc w:val="both"/>
      </w:pPr>
      <w:r>
        <w:rPr>
          <w:rFonts w:ascii="Times New Roman" w:hAnsi="Times New Roman" w:eastAsia="宋体"/>
          <w:b/>
          <w:color w:val="000000"/>
          <w:sz w:val="24"/>
        </w:rPr>
        <w:t>底线:</w:t>
      </w:r>
      <w:r>
        <w:rPr>
          <w:rFonts w:ascii="Times New Roman" w:hAnsi="Times New Roman" w:eastAsia="宋体"/>
          <w:b w:val="0"/>
          <w:color w:val="000000"/>
          <w:sz w:val="24"/>
        </w:rPr>
        <w:t>双方日率对等且不超过日万分之十；差异最大不超过 2 倍</w:t>
      </w:r>
    </w:p>
    <w:p>
      <w:pPr>
        <w:spacing w:before="160"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6"/>
      </w:tblGrid>
      <w:tr>
        <w:tc>
          <w:tcPr>
            <w:tcW w:type="dxa" w:w="9071"/>
            <w:tcBorders>
              <w:top w:val="none" w:sz="0"/>
              <w:left w:val="none" w:sz="0"/>
              <w:right w:val="none" w:sz="0"/>
              <w:bottom w:val="single" w:sz="6" w:space="0" w:color="E0E0E0"/>
            </w:tcBorders>
          </w:tcPr>
          <w:p>
            <w:r/>
          </w:p>
        </w:tc>
      </w:tr>
    </w:tbl>
    <w:p>
      <w:pPr>
        <w:pStyle w:val="Heading1"/>
        <w:spacing w:line="360" w:lineRule="auto" w:before="320" w:after="160"/>
        <w:ind w:firstLine="482"/>
        <w:jc w:val="both"/>
      </w:pPr>
      <w:r>
        <w:rPr>
          <w:rFonts w:ascii="Times New Roman" w:hAnsi="Times New Roman" w:eastAsia="宋体"/>
          <w:b/>
          <w:color w:val="000000"/>
          <w:sz w:val="32"/>
        </w:rPr>
        <w:t>四、Tier 3 · 可以接受</w:t>
      </w:r>
    </w:p>
    <w:p>
      <w:pPr>
        <w:spacing w:line="360" w:lineRule="auto" w:before="0" w:after="0"/>
        <w:ind w:firstLine="482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可以接受原条款。在谈判中作为换取 Tier 2 让步的筹码使用。</w:t>
      </w:r>
    </w:p>
    <w:p>
      <w:pPr>
        <w:spacing w:before="320" w:after="80"/>
      </w:pPr>
      <w:r>
        <w:rPr>
          <w:rFonts w:ascii="Times New Roman" w:hAnsi="Times New Roman" w:eastAsia="宋体"/>
          <w:b/>
          <w:color w:val="000000"/>
          <w:sz w:val="28"/>
        </w:rPr>
        <w:t xml:space="preserve">Tier 3-01   </w:t>
      </w:r>
      <w:r>
        <w:rPr>
          <w:rFonts w:ascii="Times New Roman" w:hAnsi="Times New Roman" w:eastAsia="宋体"/>
          <w:b/>
          <w:color w:val="00A650"/>
          <w:sz w:val="28"/>
        </w:rPr>
        <w:t xml:space="preserve">■  </w:t>
      </w:r>
      <w:r>
        <w:rPr>
          <w:rFonts w:ascii="Times New Roman" w:hAnsi="Times New Roman" w:eastAsia="宋体"/>
          <w:b/>
          <w:color w:val="000000"/>
          <w:sz w:val="28"/>
        </w:rPr>
        <w:t>可让步:同意将管辖法院调整为乙方所在地</w:t>
      </w:r>
    </w:p>
    <w:p>
      <w:pPr>
        <w:spacing w:line="360" w:lineRule="auto" w:before="0" w:after="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对应清单:C039  ·  规则来源:标准清单</w:t>
      </w:r>
    </w:p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4252"/>
            <w:shd w:val="clear" w:color="auto" w:fill="F1F5F9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line="276" w:lineRule="auto" w:before="80" w:after="8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4"/>
              </w:rPr>
              <w:t>条款原文</w:t>
            </w:r>
          </w:p>
        </w:tc>
        <w:tc>
          <w:tcPr>
            <w:tcW w:type="dxa" w:w="4252"/>
            <w:shd w:val="clear" w:color="auto" w:fill="F1F5F9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line="276" w:lineRule="auto" w:before="80" w:after="8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4"/>
              </w:rPr>
              <w:t>修改建议</w:t>
            </w:r>
          </w:p>
        </w:tc>
      </w:tr>
      <w:tr>
        <w:tc>
          <w:tcPr>
            <w:tcW w:type="dxa" w:w="42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line="276" w:lineRule="auto" w:before="80" w:after="8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因本合同产生的或与本合同有关的任何争议，双方应当首先通过友好协商解决;协商不成的，任何一方均有权向甲方所在地人民法院提起诉讼。</w:t>
            </w:r>
          </w:p>
        </w:tc>
        <w:tc>
          <w:tcPr>
            <w:tcW w:type="dxa" w:w="42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line="276" w:lineRule="auto" w:before="80" w:after="8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如对方提出要求，可接受改为</w:t>
            </w:r>
            <w:r>
              <w:rPr>
                <w:rFonts w:ascii="Times New Roman" w:hAnsi="Times New Roman" w:eastAsia="宋体"/>
                <w:b w:val="0"/>
                <w:color w:val="EE0000"/>
                <w:sz w:val="24"/>
              </w:rPr>
              <w:t>乙方所在地人民法院</w:t>
            </w: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管辖</w:t>
            </w:r>
          </w:p>
        </w:tc>
      </w:tr>
      <w:tr>
        <w:tc>
          <w:tcPr>
            <w:tcW w:type="dxa" w:w="8504"/>
            <w:gridSpan w:val="2"/>
            <w:shd w:val="clear" w:color="auto" w:fill="F1F5F9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line="276" w:lineRule="auto" w:before="80" w:after="8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4"/>
              </w:rPr>
              <w:t>谈判话术</w:t>
            </w:r>
          </w:p>
        </w:tc>
      </w:tr>
      <w:tr>
        <w:tc>
          <w:tcPr>
            <w:tcW w:type="dxa" w:w="8504"/>
            <w:gridSpan w:val="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line="276" w:lineRule="auto" w:before="80" w:after="8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(1) 现行条款约定甲方所在地管辖，对我方有利，是天然的让步筹码  (2) 这是 Tier 3 让步项——以管辖让步换取对方在违约金条款上的妥协  (3) 乙方所在地（上海）法院对本类技术服务合同纠纷审判经验充分，实际不利影响有限</w:t>
            </w:r>
          </w:p>
        </w:tc>
      </w:tr>
    </w:tbl>
    <w:p>
      <w:pPr>
        <w:spacing w:before="160"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6"/>
      </w:tblGrid>
      <w:tr>
        <w:tc>
          <w:tcPr>
            <w:tcW w:type="dxa" w:w="9071"/>
            <w:tcBorders>
              <w:top w:val="none" w:sz="0"/>
              <w:left w:val="none" w:sz="0"/>
              <w:right w:val="none" w:sz="0"/>
              <w:bottom w:val="single" w:sz="6" w:space="0" w:color="E0E0E0"/>
            </w:tcBorders>
          </w:tcPr>
          <w:p>
            <w:r/>
          </w:p>
        </w:tc>
      </w:tr>
    </w:tbl>
    <w:p>
      <w:pPr>
        <w:spacing w:before="320" w:after="80"/>
      </w:pPr>
      <w:r>
        <w:rPr>
          <w:rFonts w:ascii="Times New Roman" w:hAnsi="Times New Roman" w:eastAsia="宋体"/>
          <w:b/>
          <w:color w:val="000000"/>
          <w:sz w:val="28"/>
        </w:rPr>
        <w:t xml:space="preserve">Tier 3-02   </w:t>
      </w:r>
      <w:r>
        <w:rPr>
          <w:rFonts w:ascii="Times New Roman" w:hAnsi="Times New Roman" w:eastAsia="宋体"/>
          <w:b/>
          <w:color w:val="00A650"/>
          <w:sz w:val="28"/>
        </w:rPr>
        <w:t xml:space="preserve">■  </w:t>
      </w:r>
      <w:r>
        <w:rPr>
          <w:rFonts w:ascii="Times New Roman" w:hAnsi="Times New Roman" w:eastAsia="宋体"/>
          <w:b/>
          <w:color w:val="000000"/>
          <w:sz w:val="28"/>
        </w:rPr>
        <w:t>可让步:不挑战「逾期未反馈视为验收合格」条款</w:t>
      </w:r>
    </w:p>
    <w:p>
      <w:pPr>
        <w:spacing w:line="360" w:lineRule="auto" w:before="0" w:after="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对应清单:C007  ·  规则来源:标准清单</w:t>
      </w:r>
    </w:p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4252"/>
            <w:shd w:val="clear" w:color="auto" w:fill="F1F5F9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line="276" w:lineRule="auto" w:before="80" w:after="8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4"/>
              </w:rPr>
              <w:t>条款原文</w:t>
            </w:r>
          </w:p>
        </w:tc>
        <w:tc>
          <w:tcPr>
            <w:tcW w:type="dxa" w:w="4252"/>
            <w:shd w:val="clear" w:color="auto" w:fill="F1F5F9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line="276" w:lineRule="auto" w:before="80" w:after="8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4"/>
              </w:rPr>
              <w:t>修改建议</w:t>
            </w:r>
          </w:p>
        </w:tc>
      </w:tr>
      <w:tr>
        <w:tc>
          <w:tcPr>
            <w:tcW w:type="dxa" w:w="42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line="276" w:lineRule="auto" w:before="80" w:after="8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甲方逾期未反馈验收意见的，视为验收合格。</w:t>
            </w:r>
          </w:p>
        </w:tc>
        <w:tc>
          <w:tcPr>
            <w:tcW w:type="dxa" w:w="425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line="276" w:lineRule="auto" w:before="80" w:after="8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（可接受原文，不提修改意见）</w:t>
            </w:r>
          </w:p>
        </w:tc>
      </w:tr>
      <w:tr>
        <w:tc>
          <w:tcPr>
            <w:tcW w:type="dxa" w:w="8504"/>
            <w:gridSpan w:val="2"/>
            <w:shd w:val="clear" w:color="auto" w:fill="F1F5F9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line="276" w:lineRule="auto" w:before="80" w:after="8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4"/>
              </w:rPr>
              <w:t>谈判话术</w:t>
            </w:r>
          </w:p>
        </w:tc>
      </w:tr>
      <w:tr>
        <w:tc>
          <w:tcPr>
            <w:tcW w:type="dxa" w:w="8504"/>
            <w:gridSpan w:val="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line="276" w:lineRule="auto" w:before="80" w:after="8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(1) 15 个工作日验收期已明确，甲方通过内部流程管控即可避免逾期，实际风险可控  (2) 作为让步筹码，换取对方在其他条款上的让步</w:t>
            </w:r>
          </w:p>
        </w:tc>
      </w:tr>
    </w:tbl>
    <w:p>
      <w:pPr>
        <w:spacing w:before="160"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6"/>
      </w:tblGrid>
      <w:tr>
        <w:tc>
          <w:tcPr>
            <w:tcW w:type="dxa" w:w="9071"/>
            <w:tcBorders>
              <w:top w:val="none" w:sz="0"/>
              <w:left w:val="none" w:sz="0"/>
              <w:right w:val="none" w:sz="0"/>
              <w:bottom w:val="single" w:sz="6" w:space="0" w:color="E0E0E0"/>
            </w:tcBorders>
          </w:tcPr>
          <w:p>
            <w:r/>
          </w:p>
        </w:tc>
      </w:tr>
    </w:tbl>
    <w:p>
      <w:pPr>
        <w:pStyle w:val="Heading1"/>
        <w:spacing w:line="360" w:lineRule="auto" w:before="320" w:after="160"/>
        <w:ind w:firstLine="482"/>
        <w:jc w:val="both"/>
      </w:pPr>
      <w:r>
        <w:rPr>
          <w:rFonts w:ascii="Times New Roman" w:hAnsi="Times New Roman" w:eastAsia="宋体"/>
          <w:b/>
          <w:color w:val="000000"/>
          <w:sz w:val="32"/>
        </w:rPr>
        <w:t>五、交换矩阵</w:t>
      </w:r>
    </w:p>
    <w:p>
      <w:pPr>
        <w:spacing w:line="360" w:lineRule="auto" w:before="0" w:after="0"/>
        <w:ind w:firstLine="482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谈判策略的核心是"交换"——用 Tier 3 的可接受让步,换取对方在 Tier 2 的修改配合。下表列出本次谈判可操作的关键交换组合。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1984"/>
            <w:shd w:val="clear" w:color="auto" w:fill="F1F5F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before="60" w:after="6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我方让步</w:t>
            </w:r>
          </w:p>
        </w:tc>
        <w:tc>
          <w:tcPr>
            <w:tcW w:type="dxa" w:w="1984"/>
            <w:shd w:val="clear" w:color="auto" w:fill="F1F5F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before="60" w:after="6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期待对方修改</w:t>
            </w:r>
          </w:p>
        </w:tc>
        <w:tc>
          <w:tcPr>
            <w:tcW w:type="dxa" w:w="3969"/>
            <w:shd w:val="clear" w:color="auto" w:fill="F1F5F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before="60" w:after="6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策略说明</w:t>
            </w:r>
          </w:p>
        </w:tc>
        <w:tc>
          <w:tcPr>
            <w:tcW w:type="dxa" w:w="1020"/>
            <w:shd w:val="clear" w:color="auto" w:fill="F1F5F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before="60" w:after="6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成功率</w:t>
            </w:r>
          </w:p>
        </w:tc>
      </w:tr>
      <w:tr>
        <w:tc>
          <w:tcPr>
            <w:tcW w:type="dxa" w:w="198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before="60" w:after="6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同意管辖法院调整为乙方所在地（Tier 3-01）</w:t>
            </w:r>
          </w:p>
        </w:tc>
        <w:tc>
          <w:tcPr>
            <w:tcW w:type="dxa" w:w="198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before="60" w:after="6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违约金比例降至 15%（Tier 2，风险 03）</w:t>
            </w:r>
          </w:p>
        </w:tc>
        <w:tc>
          <w:tcPr>
            <w:tcW w:type="dxa" w:w="396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before="60" w:after="6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对方谈判团队通常重视管辖便利，我方在此事项让步可换取对方在违约金上的妥协</w:t>
            </w:r>
          </w:p>
        </w:tc>
        <w:tc>
          <w:tcPr>
            <w:tcW w:type="dxa" w:w="102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before="60" w:after="6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高</w:t>
            </w:r>
          </w:p>
        </w:tc>
      </w:tr>
      <w:tr>
        <w:tc>
          <w:tcPr>
            <w:tcW w:type="dxa" w:w="198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AFC"/>
            <w:vAlign w:val="center"/>
          </w:tcPr>
          <w:p>
            <w:pPr>
              <w:spacing w:before="60" w:after="6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不挑战「逾期未反馈视为验收合格」条款（Tier 3-02）</w:t>
            </w:r>
          </w:p>
        </w:tc>
        <w:tc>
          <w:tcPr>
            <w:tcW w:type="dxa" w:w="198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AFC"/>
            <w:vAlign w:val="center"/>
          </w:tcPr>
          <w:p>
            <w:pPr>
              <w:spacing w:before="60" w:after="6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双方逾期违约金对等化并回归合理日率（Tier 2，风险 04）</w:t>
            </w:r>
          </w:p>
        </w:tc>
        <w:tc>
          <w:tcPr>
            <w:tcW w:type="dxa" w:w="396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AFC"/>
            <w:vAlign w:val="center"/>
          </w:tcPr>
          <w:p>
            <w:pPr>
              <w:spacing w:before="60" w:after="6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对方若坚持不对等违约金，势必在验收程序等其他条款上做补偿</w:t>
            </w:r>
          </w:p>
        </w:tc>
        <w:tc>
          <w:tcPr>
            <w:tcW w:type="dxa" w:w="102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AFC"/>
            <w:vAlign w:val="center"/>
          </w:tcPr>
          <w:p>
            <w:pPr>
              <w:spacing w:before="60" w:after="6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中</w:t>
            </w:r>
          </w:p>
        </w:tc>
      </w:tr>
    </w:tbl>
    <w:p>
      <w:pPr>
        <w:pStyle w:val="Heading1"/>
        <w:spacing w:line="360" w:lineRule="auto" w:before="320" w:after="160"/>
        <w:ind w:firstLine="482"/>
        <w:jc w:val="both"/>
      </w:pPr>
      <w:r>
        <w:rPr>
          <w:rFonts w:ascii="Times New Roman" w:hAnsi="Times New Roman" w:eastAsia="宋体"/>
          <w:b/>
          <w:color w:val="000000"/>
          <w:sz w:val="32"/>
        </w:rPr>
        <w:t>六、使用建议</w:t>
      </w:r>
    </w:p>
    <w:p>
      <w:pPr>
        <w:spacing w:before="120" w:after="40"/>
      </w:pPr>
      <w:r>
        <w:rPr>
          <w:rFonts w:ascii="Times New Roman" w:hAnsi="Times New Roman" w:eastAsia="宋体"/>
          <w:b/>
          <w:color w:val="000000"/>
          <w:sz w:val="24"/>
        </w:rPr>
        <w:t>1. 推进顺序</w:t>
      </w:r>
    </w:p>
    <w:p>
      <w:pPr>
        <w:spacing w:line="360" w:lineRule="auto" w:before="0" w:after="0"/>
        <w:ind w:firstLine="482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按 Tier 1 → Tier 2 → Tier 3 的顺序推进谈判。Tier 1 是不可退让项,必须优先达成;Tier 2 是核心争取项,可动用 Tier 3 作为筹码;Tier 3 本质是可接受项,在谈判中作为让步筹码使用。</w:t>
      </w:r>
    </w:p>
    <w:p>
      <w:pPr>
        <w:spacing w:before="120" w:after="40"/>
      </w:pPr>
      <w:r>
        <w:rPr>
          <w:rFonts w:ascii="Times New Roman" w:hAnsi="Times New Roman" w:eastAsia="宋体"/>
          <w:b/>
          <w:color w:val="000000"/>
          <w:sz w:val="24"/>
        </w:rPr>
        <w:t>2. 时机把握</w:t>
      </w:r>
    </w:p>
    <w:p>
      <w:pPr>
        <w:spacing w:line="360" w:lineRule="auto" w:before="0" w:after="0"/>
        <w:ind w:firstLine="482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Tier 1 宜在谈判开局即明确提出,避免后续推诿;Tier 2 宜在对方已有让步意向后推进;Tier 3 的让步应该分批次释放,不一次性用尽筹码。</w:t>
      </w:r>
    </w:p>
    <w:p>
      <w:pPr>
        <w:spacing w:before="120" w:after="40"/>
      </w:pPr>
      <w:r>
        <w:rPr>
          <w:rFonts w:ascii="Times New Roman" w:hAnsi="Times New Roman" w:eastAsia="宋体"/>
          <w:b/>
          <w:color w:val="000000"/>
          <w:sz w:val="24"/>
        </w:rPr>
        <w:t>3. Plan B 启用</w:t>
      </w:r>
    </w:p>
    <w:p>
      <w:pPr>
        <w:spacing w:line="360" w:lineRule="auto" w:before="0" w:after="0"/>
        <w:ind w:firstLine="482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Plan B 对冲方案是 Tier 1 失败后的保底路径,启用前应与委托方决策层充分沟通,避免擅自让步。Plan B 中的关键参数(如金额比例、时限)应作为预设红线,不再降让。</w:t>
      </w:r>
    </w:p>
    <w:p>
      <w:pPr>
        <w:spacing w:before="120" w:after="40"/>
      </w:pPr>
      <w:r>
        <w:rPr>
          <w:rFonts w:ascii="Times New Roman" w:hAnsi="Times New Roman" w:eastAsia="宋体"/>
          <w:b/>
          <w:color w:val="000000"/>
          <w:sz w:val="24"/>
        </w:rPr>
        <w:t>4. 结果记录</w:t>
      </w:r>
    </w:p>
    <w:p>
      <w:pPr>
        <w:spacing w:line="360" w:lineRule="auto" w:before="0" w:after="0"/>
        <w:ind w:firstLine="482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谈判过程中,应记录每个事项的最终落点:完全接受 / 部分接受 / 拒绝 / 悬置。这些记录会沉淀为 Playbook 的历史数据,供后续同类谈判参考。</w:t>
      </w:r>
    </w:p>
    <w:p>
      <w:pPr>
        <w:pStyle w:val="Heading1"/>
        <w:spacing w:line="360" w:lineRule="auto" w:before="320" w:after="160"/>
        <w:ind w:firstLine="482"/>
        <w:jc w:val="both"/>
      </w:pPr>
      <w:r>
        <w:rPr>
          <w:rFonts w:ascii="Times New Roman" w:hAnsi="Times New Roman" w:eastAsia="宋体"/>
          <w:b/>
          <w:color w:val="000000"/>
          <w:sz w:val="32"/>
        </w:rPr>
        <w:t>七、重要声明</w:t>
      </w:r>
    </w:p>
    <w:p>
      <w:pPr>
        <w:spacing w:before="120" w:after="40"/>
      </w:pPr>
      <w:r>
        <w:rPr>
          <w:rFonts w:ascii="Times New Roman" w:hAnsi="Times New Roman" w:eastAsia="宋体"/>
          <w:b/>
          <w:color w:val="000000"/>
          <w:sz w:val="24"/>
        </w:rPr>
        <w:t>1. 辅助性质</w:t>
      </w:r>
    </w:p>
    <w:p>
      <w:pPr>
        <w:spacing w:line="360" w:lineRule="auto" w:before="0" w:after="0"/>
        <w:ind w:firstLine="482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本清单由 AI 工具辅助生成,所有谈判策略仅供参考,必须由执业律师审核后方可使用。本清单不构成法律意见书。</w:t>
      </w:r>
    </w:p>
    <w:p>
      <w:pPr>
        <w:spacing w:before="120" w:after="40"/>
      </w:pPr>
      <w:r>
        <w:rPr>
          <w:rFonts w:ascii="Times New Roman" w:hAnsi="Times New Roman" w:eastAsia="宋体"/>
          <w:b/>
          <w:color w:val="000000"/>
          <w:sz w:val="24"/>
        </w:rPr>
        <w:t>2. 场景限制</w:t>
      </w:r>
    </w:p>
    <w:p>
      <w:pPr>
        <w:spacing w:line="360" w:lineRule="auto" w:before="0" w:after="0"/>
        <w:ind w:firstLine="482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本清单基于审查时的合同文本和已知谈判背景。谈判过程中如出现新信息(如对方披露的商业底线、第三方约束),应重新评估本清单的策略。</w:t>
      </w:r>
    </w:p>
    <w:p>
      <w:pPr>
        <w:spacing w:before="120" w:after="40"/>
      </w:pPr>
      <w:r>
        <w:rPr>
          <w:rFonts w:ascii="Times New Roman" w:hAnsi="Times New Roman" w:eastAsia="宋体"/>
          <w:b/>
          <w:color w:val="000000"/>
          <w:sz w:val="24"/>
        </w:rPr>
        <w:t>3. 底线保密</w:t>
      </w:r>
    </w:p>
    <w:p>
      <w:pPr>
        <w:spacing w:line="360" w:lineRule="auto" w:before="0" w:after="0"/>
        <w:ind w:firstLine="482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Plan B 对冲方案、底线数据属于我方谈判机密,不应向对方展示本清单。</w:t>
      </w:r>
    </w:p>
    <w:p>
      <w:pPr>
        <w:spacing w:before="120" w:after="40"/>
      </w:pPr>
      <w:r>
        <w:rPr>
          <w:rFonts w:ascii="Times New Roman" w:hAnsi="Times New Roman" w:eastAsia="宋体"/>
          <w:b/>
          <w:color w:val="000000"/>
          <w:sz w:val="24"/>
        </w:rPr>
        <w:t>4. 使用范围</w:t>
      </w:r>
    </w:p>
    <w:p>
      <w:pPr>
        <w:spacing w:line="360" w:lineRule="auto" w:before="0" w:after="0"/>
        <w:ind w:firstLine="482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本清单仅供本次谈判委托方及其指定谈判代表使用,未经作者书面同意不得对外披露。</w:t>
      </w:r>
    </w:p>
    <w:p/>
    <w:p>
      <w:pPr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LEGAL AI TOOLMAKER · 法律工具制造者 | 缪奇川律师 出品  |  Skill 版本 v2.0.0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Times New Roman" w:hAnsi="Times New Roman" w:eastAsia="宋体"/>
        <w:b w:val="0"/>
        <w:color w:val="000000"/>
        <w:sz w:val="18"/>
      </w:rPr>
      <w:t>审查编号:MQC-REV-20260417-001</w:t>
    </w:r>
    <w:r>
      <w:tab/>
      <w:tab/>
    </w:r>
    <w:r>
      <w:rPr>
        <w:rFonts w:ascii="Times New Roman" w:hAnsi="Times New Roman" w:eastAsia="宋体"/>
        <w:b w:val="0"/>
        <w:color w:val="000000"/>
        <w:sz w:val="18"/>
      </w:rPr>
      <w:t xml:space="preserve">第 </w:t>
    </w:r>
    <w:r>
      <w:rPr>
        <w:rFonts w:ascii="Times New Roman" w:hAnsi="Times New Roman" w:eastAsia="宋体"/>
        <w:b w:val="0"/>
        <w:color w:val="000000"/>
        <w:sz w:val="18"/>
      </w:rPr>
      <w:fldChar w:fldCharType="begin"/>
      <w:instrText>PAGE</w:instrText>
      <w:fldChar w:fldCharType="end"/>
    </w:r>
    <w:r>
      <w:rPr>
        <w:rFonts w:ascii="Times New Roman" w:hAnsi="Times New Roman" w:eastAsia="宋体"/>
        <w:b w:val="0"/>
        <w:color w:val="000000"/>
        <w:sz w:val="18"/>
      </w:rPr>
      <w:t xml:space="preserve"> 页 / 共 </w:t>
    </w:r>
    <w:r>
      <w:rPr>
        <w:rFonts w:ascii="Times New Roman" w:hAnsi="Times New Roman" w:eastAsia="宋体"/>
        <w:b w:val="0"/>
        <w:color w:val="000000"/>
        <w:sz w:val="18"/>
      </w:rPr>
      <w:fldChar w:fldCharType="begin"/>
      <w:instrText>NUMPAGES</w:instrText>
      <w:fldChar w:fldCharType="end"/>
    </w:r>
    <w:r>
      <w:rPr>
        <w:rFonts w:ascii="Times New Roman" w:hAnsi="Times New Roman" w:eastAsia="宋体"/>
        <w:b w:val="0"/>
        <w:color w:val="000000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Times New Roman" w:hAnsi="Times New Roman" w:eastAsia="宋体"/>
        <w:b w:val="0"/>
        <w:color w:val="000000"/>
        <w:sz w:val="18"/>
      </w:rPr>
      <w:t>技术服务合同  ·  谈判优先级清单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ind w:firstLine="482"/>
      <w:jc w:val="both"/>
    </w:pPr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