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8646"/>
      </w:tblGrid>
      <w:tr>
        <w:tc>
          <w:tcPr>
            <w:tcW w:type="dxa" w:w="8504"/>
            <w:tcBorders>
              <w:top w:val="none" w:sz="0"/>
              <w:left w:val="none" w:sz="0"/>
              <w:right w:val="none" w:sz="0"/>
              <w:bottom w:val="none" w:sz="0"/>
            </w:tcBorders>
            <w:tcMar>
              <w:top w:w="0" w:type="dxa"/>
              <w:left w:w="0" w:type="dxa"/>
              <w:right w:w="0" w:type="dxa"/>
              <w:bottom w:w="0" w:type="dxa"/>
            </w:tcMar>
          </w:tcPr>
          <w:p>
            <w:pPr>
              <w:spacing w:before="0" w:after="0" w:line="240" w:lineRule="auto"/>
              <w:ind w:firstLine="0"/>
            </w:pPr>
            <w:r>
              <w:rPr>
                <w:rFonts w:ascii="Times New Roman" w:hAnsi="Times New Roman" w:eastAsia="宋体"/>
                <w:b w:val="0"/>
                <w:color w:val="000000"/>
                <w:sz w:val="2"/>
              </w:rPr>
            </w:r>
          </w:p>
          <w:tbl>
            <w:tblPr>
              <w:tblW w:type="auto" w:w="0"/>
              <w:jc w:val="left"/>
              <w:tblLook w:firstColumn="1" w:firstRow="1" w:lastColumn="0" w:lastRow="0" w:noHBand="0" w:noVBand="1" w:val="04A0"/>
            </w:tblPr>
            <w:tblGrid>
              <w:gridCol w:w="8504"/>
            </w:tblGrid>
            <w:tr>
              <w:trPr>
                <w:trHeight w:val="60" w:hRule="exact"/>
              </w:trPr>
              <w:tc>
                <w:tcPr>
                  <w:tcW w:type="dxa" w:w="1417"/>
                  <w:shd w:val="clear" w:color="auto" w:fill="1387C0"/>
                  <w:tcBorders>
                    <w:top w:val="none" w:sz="0"/>
                    <w:left w:val="none" w:sz="0"/>
                    <w:right w:val="none" w:sz="0"/>
                    <w:bottom w:val="none" w:sz="0"/>
                  </w:tcBorders>
                  <w:tcMar>
                    <w:top w:w="0" w:type="dxa"/>
                    <w:left w:w="0" w:type="dxa"/>
                    <w:right w:w="0" w:type="dxa"/>
                    <w:bottom w:w="0" w:type="dxa"/>
                  </w:tcMar>
                </w:tcPr>
                <w:p>
                  <w:pPr>
                    <w:spacing w:before="0" w:after="0" w:line="20" w:lineRule="exact"/>
                    <w:ind w:firstLine="0"/>
                  </w:pPr>
                </w:p>
              </w:tc>
            </w:tr>
          </w:tbl>
          <w:p/>
        </w:tc>
      </w:tr>
      <w:tr>
        <w:tc>
          <w:tcPr>
            <w:tcW w:type="dxa" w:w="8504"/>
            <w:tcBorders>
              <w:top w:val="none" w:sz="0"/>
              <w:left w:val="none" w:sz="0"/>
              <w:right w:val="none" w:sz="0"/>
              <w:bottom w:val="none" w:sz="0"/>
            </w:tcBorders>
            <w:tcMar>
              <w:top w:w="0" w:type="dxa"/>
              <w:left w:w="0" w:type="dxa"/>
              <w:right w:w="0" w:type="dxa"/>
              <w:bottom w:w="0" w:type="dxa"/>
            </w:tcMar>
          </w:tcPr>
          <w:p>
            <w:pPr>
              <w:spacing w:before="0" w:after="0" w:line="240" w:lineRule="auto"/>
              <w:ind w:firstLine="0"/>
            </w:pPr>
            <w:r>
              <w:rPr>
                <w:rFonts w:ascii="Times New Roman" w:hAnsi="Times New Roman" w:eastAsia="宋体"/>
                <w:b w:val="0"/>
                <w:color w:val="000000"/>
                <w:sz w:val="60"/>
              </w:rPr>
              <w:t xml:space="preserve"> </w:t>
            </w:r>
          </w:p>
        </w:tc>
      </w:tr>
      <w:tr>
        <w:tc>
          <w:tcPr>
            <w:tcW w:type="dxa" w:w="8504"/>
            <w:tcBorders>
              <w:top w:val="none" w:sz="0"/>
              <w:left w:val="none" w:sz="0"/>
              <w:right w:val="none" w:sz="0"/>
              <w:bottom w:val="none" w:sz="0"/>
            </w:tcBorders>
            <w:tcMar>
              <w:top w:w="0" w:type="dxa"/>
              <w:left w:w="0" w:type="dxa"/>
              <w:right w:w="0" w:type="dxa"/>
              <w:bottom w:w="0" w:type="dxa"/>
            </w:tcMar>
          </w:tcPr>
          <w:p>
            <w:pPr>
              <w:spacing w:before="0" w:after="0" w:line="240" w:lineRule="auto"/>
              <w:ind w:firstLine="0"/>
              <w:jc w:val="left"/>
            </w:pPr>
            <w:r>
              <w:rPr>
                <w:rFonts w:ascii="Times New Roman" w:hAnsi="Times New Roman" w:eastAsia="宋体"/>
                <w:b/>
                <w:color w:val="000000"/>
                <w:sz w:val="72"/>
              </w:rPr>
              <w:t>CONTRACT</w:t>
            </w:r>
          </w:p>
        </w:tc>
      </w:tr>
      <w:tr>
        <w:tc>
          <w:tcPr>
            <w:tcW w:type="dxa" w:w="8504"/>
            <w:tcBorders>
              <w:top w:val="none" w:sz="0"/>
              <w:left w:val="none" w:sz="0"/>
              <w:right w:val="none" w:sz="0"/>
              <w:bottom w:val="none" w:sz="0"/>
            </w:tcBorders>
            <w:tcMar>
              <w:top w:w="0" w:type="dxa"/>
              <w:left w:w="0" w:type="dxa"/>
              <w:right w:w="0" w:type="dxa"/>
              <w:bottom w:w="0" w:type="dxa"/>
            </w:tcMar>
          </w:tcPr>
          <w:p>
            <w:pPr>
              <w:spacing w:before="0" w:after="0" w:line="240" w:lineRule="auto"/>
              <w:ind w:firstLine="0"/>
              <w:jc w:val="left"/>
            </w:pPr>
            <w:r>
              <w:rPr>
                <w:rFonts w:ascii="Times New Roman" w:hAnsi="Times New Roman" w:eastAsia="宋体"/>
                <w:b/>
                <w:color w:val="000000"/>
                <w:sz w:val="72"/>
              </w:rPr>
              <w:t>REVIEW</w:t>
            </w:r>
          </w:p>
        </w:tc>
      </w:tr>
      <w:tr>
        <w:tc>
          <w:tcPr>
            <w:tcW w:type="dxa" w:w="8504"/>
            <w:tcBorders>
              <w:top w:val="none" w:sz="0"/>
              <w:left w:val="none" w:sz="0"/>
              <w:right w:val="none" w:sz="0"/>
              <w:bottom w:val="none" w:sz="0"/>
            </w:tcBorders>
            <w:tcMar>
              <w:top w:w="0" w:type="dxa"/>
              <w:left w:w="0" w:type="dxa"/>
              <w:right w:w="0" w:type="dxa"/>
              <w:bottom w:w="0" w:type="dxa"/>
            </w:tcMar>
          </w:tcPr>
          <w:p>
            <w:pPr>
              <w:spacing w:before="0" w:after="0" w:line="240" w:lineRule="auto"/>
              <w:ind w:firstLine="0"/>
              <w:jc w:val="left"/>
            </w:pPr>
            <w:r>
              <w:rPr>
                <w:rFonts w:ascii="Times New Roman" w:hAnsi="Times New Roman" w:eastAsia="宋体"/>
                <w:b/>
                <w:color w:val="000000"/>
                <w:sz w:val="72"/>
              </w:rPr>
              <w:t>REPORT</w:t>
            </w:r>
          </w:p>
        </w:tc>
      </w:tr>
      <w:tr>
        <w:tc>
          <w:tcPr>
            <w:tcW w:type="dxa" w:w="8504"/>
            <w:tcBorders>
              <w:top w:val="none" w:sz="0"/>
              <w:left w:val="none" w:sz="0"/>
              <w:right w:val="none" w:sz="0"/>
              <w:bottom w:val="none" w:sz="0"/>
            </w:tcBorders>
            <w:tcMar>
              <w:top w:w="0" w:type="dxa"/>
              <w:left w:w="0" w:type="dxa"/>
              <w:right w:w="0" w:type="dxa"/>
              <w:bottom w:w="0" w:type="dxa"/>
            </w:tcMar>
          </w:tcPr>
          <w:p>
            <w:pPr>
              <w:spacing w:before="0" w:after="0" w:line="240" w:lineRule="auto"/>
              <w:ind w:firstLine="0"/>
            </w:pPr>
            <w:r>
              <w:rPr>
                <w:rFonts w:ascii="Times New Roman" w:hAnsi="Times New Roman" w:eastAsia="宋体"/>
                <w:b w:val="0"/>
                <w:color w:val="000000"/>
                <w:sz w:val="16"/>
              </w:rPr>
              <w:t xml:space="preserve"> </w:t>
            </w:r>
          </w:p>
        </w:tc>
      </w:tr>
      <w:tr>
        <w:tc>
          <w:tcPr>
            <w:tcW w:type="dxa" w:w="8504"/>
            <w:tcBorders>
              <w:top w:val="none" w:sz="0"/>
              <w:left w:val="none" w:sz="0"/>
              <w:right w:val="none" w:sz="0"/>
              <w:bottom w:val="none" w:sz="0"/>
            </w:tcBorders>
            <w:tcMar>
              <w:top w:w="0" w:type="dxa"/>
              <w:left w:w="0" w:type="dxa"/>
              <w:right w:w="0" w:type="dxa"/>
              <w:bottom w:w="0" w:type="dxa"/>
            </w:tcMar>
          </w:tcPr>
          <w:p>
            <w:pPr>
              <w:spacing w:before="0" w:after="0" w:line="240" w:lineRule="auto"/>
              <w:ind w:firstLine="0"/>
            </w:pPr>
            <w:r>
              <w:rPr>
                <w:rFonts w:ascii="Times New Roman" w:hAnsi="Times New Roman" w:eastAsia="宋体"/>
                <w:b w:val="0"/>
                <w:color w:val="000000"/>
                <w:sz w:val="2"/>
              </w:rPr>
            </w:r>
          </w:p>
          <w:tbl>
            <w:tblPr>
              <w:tblW w:type="auto" w:w="0"/>
              <w:jc w:val="left"/>
              <w:tblLook w:firstColumn="1" w:firstRow="1" w:lastColumn="0" w:lastRow="0" w:noHBand="0" w:noVBand="1" w:val="04A0"/>
            </w:tblPr>
            <w:tblGrid>
              <w:gridCol w:w="8504"/>
            </w:tblGrid>
            <w:tr>
              <w:trPr>
                <w:trHeight w:val="40" w:hRule="exact"/>
              </w:trPr>
              <w:tc>
                <w:tcPr>
                  <w:tcW w:type="dxa" w:w="1417"/>
                  <w:shd w:val="clear" w:color="auto" w:fill="1387C0"/>
                  <w:tcBorders>
                    <w:top w:val="none" w:sz="0"/>
                    <w:left w:val="none" w:sz="0"/>
                    <w:right w:val="none" w:sz="0"/>
                    <w:bottom w:val="none" w:sz="0"/>
                  </w:tcBorders>
                  <w:tcMar>
                    <w:top w:w="0" w:type="dxa"/>
                    <w:left w:w="0" w:type="dxa"/>
                    <w:right w:w="0" w:type="dxa"/>
                    <w:bottom w:w="0" w:type="dxa"/>
                  </w:tcMar>
                </w:tcPr>
                <w:p>
                  <w:pPr>
                    <w:spacing w:before="0" w:after="0" w:line="20" w:lineRule="exact"/>
                    <w:ind w:firstLine="0"/>
                  </w:pPr>
                </w:p>
              </w:tc>
            </w:tr>
          </w:tbl>
          <w:p/>
        </w:tc>
      </w:tr>
      <w:tr>
        <w:tc>
          <w:tcPr>
            <w:tcW w:type="dxa" w:w="8504"/>
            <w:tcBorders>
              <w:top w:val="none" w:sz="0"/>
              <w:left w:val="none" w:sz="0"/>
              <w:right w:val="none" w:sz="0"/>
              <w:bottom w:val="none" w:sz="0"/>
            </w:tcBorders>
            <w:tcMar>
              <w:top w:w="0" w:type="dxa"/>
              <w:left w:w="0" w:type="dxa"/>
              <w:right w:w="0" w:type="dxa"/>
              <w:bottom w:w="0" w:type="dxa"/>
            </w:tcMar>
          </w:tcPr>
          <w:p>
            <w:pPr>
              <w:spacing w:before="0" w:after="0" w:line="240" w:lineRule="auto"/>
              <w:ind w:firstLine="0"/>
            </w:pPr>
            <w:r>
              <w:rPr>
                <w:rFonts w:ascii="Times New Roman" w:hAnsi="Times New Roman" w:eastAsia="宋体"/>
                <w:b w:val="0"/>
                <w:color w:val="000000"/>
                <w:sz w:val="24"/>
              </w:rPr>
              <w:t xml:space="preserve"> </w:t>
            </w:r>
          </w:p>
        </w:tc>
      </w:tr>
      <w:tr>
        <w:tc>
          <w:tcPr>
            <w:tcW w:type="dxa" w:w="8504"/>
            <w:tcBorders>
              <w:top w:val="none" w:sz="0"/>
              <w:left w:val="none" w:sz="0"/>
              <w:right w:val="none" w:sz="0"/>
              <w:bottom w:val="none" w:sz="0"/>
            </w:tcBorders>
            <w:tcMar>
              <w:top w:w="0" w:type="dxa"/>
              <w:left w:w="0" w:type="dxa"/>
              <w:right w:w="0" w:type="dxa"/>
              <w:bottom w:w="0" w:type="dxa"/>
            </w:tcMar>
          </w:tcPr>
          <w:p>
            <w:pPr>
              <w:spacing w:before="0" w:after="0" w:line="240" w:lineRule="auto"/>
              <w:ind w:firstLine="0"/>
              <w:jc w:val="left"/>
            </w:pPr>
            <w:r>
              <w:rPr>
                <w:rFonts w:ascii="Times New Roman" w:hAnsi="Times New Roman" w:eastAsia="宋体"/>
                <w:b/>
                <w:color w:val="000000"/>
                <w:sz w:val="44"/>
              </w:rPr>
              <w:t>合同审查报告</w:t>
            </w:r>
          </w:p>
        </w:tc>
      </w:tr>
      <w:tr>
        <w:tc>
          <w:tcPr>
            <w:tcW w:type="dxa" w:w="8504"/>
            <w:tcBorders>
              <w:top w:val="none" w:sz="0"/>
              <w:left w:val="none" w:sz="0"/>
              <w:right w:val="none" w:sz="0"/>
              <w:bottom w:val="none" w:sz="0"/>
            </w:tcBorders>
            <w:tcMar>
              <w:top w:w="0" w:type="dxa"/>
              <w:left w:w="0" w:type="dxa"/>
              <w:right w:w="0" w:type="dxa"/>
              <w:bottom w:w="0" w:type="dxa"/>
            </w:tcMar>
          </w:tcPr>
          <w:p>
            <w:pPr>
              <w:spacing w:before="0" w:after="0" w:line="240" w:lineRule="auto"/>
              <w:ind w:firstLine="0"/>
            </w:pPr>
            <w:r>
              <w:rPr>
                <w:rFonts w:ascii="Times New Roman" w:hAnsi="Times New Roman" w:eastAsia="宋体"/>
                <w:b w:val="0"/>
                <w:color w:val="000000"/>
                <w:sz w:val="2"/>
              </w:rPr>
            </w:r>
          </w:p>
          <w:tbl>
            <w:tblPr>
              <w:tblW w:type="auto" w:w="0"/>
              <w:jc w:val="left"/>
              <w:tblLook w:firstColumn="1" w:firstRow="1" w:lastColumn="0" w:lastRow="0" w:noHBand="0" w:noVBand="1" w:val="04A0"/>
            </w:tblPr>
            <w:tblGrid>
              <w:gridCol w:w="8504"/>
            </w:tblGrid>
            <w:tr>
              <w:trPr>
                <w:trHeight w:val="20" w:hRule="exact"/>
              </w:trPr>
              <w:tc>
                <w:tcPr>
                  <w:tcW w:type="dxa" w:w="7937"/>
                  <w:shd w:val="clear" w:color="auto" w:fill="1387C0"/>
                  <w:tcBorders>
                    <w:top w:val="none" w:sz="0"/>
                    <w:left w:val="none" w:sz="0"/>
                    <w:right w:val="none" w:sz="0"/>
                    <w:bottom w:val="none" w:sz="0"/>
                  </w:tcBorders>
                  <w:tcMar>
                    <w:top w:w="0" w:type="dxa"/>
                    <w:left w:w="0" w:type="dxa"/>
                    <w:right w:w="0" w:type="dxa"/>
                    <w:bottom w:w="0" w:type="dxa"/>
                  </w:tcMar>
                </w:tcPr>
                <w:p>
                  <w:pPr>
                    <w:spacing w:before="0" w:after="0" w:line="20" w:lineRule="exact"/>
                    <w:ind w:firstLine="0"/>
                  </w:pPr>
                </w:p>
              </w:tc>
            </w:tr>
          </w:tbl>
          <w:p/>
        </w:tc>
      </w:tr>
      <w:tr>
        <w:tc>
          <w:tcPr>
            <w:tcW w:type="dxa" w:w="8504"/>
            <w:tcBorders>
              <w:top w:val="none" w:sz="0"/>
              <w:left w:val="none" w:sz="0"/>
              <w:right w:val="none" w:sz="0"/>
              <w:bottom w:val="none" w:sz="0"/>
            </w:tcBorders>
            <w:tcMar>
              <w:top w:w="0" w:type="dxa"/>
              <w:left w:w="0" w:type="dxa"/>
              <w:right w:w="0" w:type="dxa"/>
              <w:bottom w:w="0" w:type="dxa"/>
            </w:tcMar>
          </w:tcPr>
          <w:p>
            <w:pPr>
              <w:spacing w:before="0" w:after="0" w:line="240" w:lineRule="auto"/>
              <w:ind w:firstLine="0"/>
            </w:pPr>
            <w:r>
              <w:rPr>
                <w:rFonts w:ascii="Times New Roman" w:hAnsi="Times New Roman" w:eastAsia="宋体"/>
                <w:b w:val="0"/>
                <w:color w:val="000000"/>
                <w:sz w:val="2"/>
              </w:rPr>
            </w:r>
          </w:p>
          <w:tbl>
            <w:tblPr>
              <w:tblW w:type="auto" w:w="0"/>
              <w:jc w:val="left"/>
              <w:tblLook w:firstColumn="1" w:firstRow="1" w:lastColumn="0" w:lastRow="0" w:noHBand="0" w:noVBand="1" w:val="04A0"/>
            </w:tblPr>
            <w:tblGrid>
              <w:gridCol w:w="4252"/>
              <w:gridCol w:w="4252"/>
            </w:tblGrid>
            <w:tr>
              <w:tc>
                <w:tcPr>
                  <w:tcW w:type="dxa" w:w="1814"/>
                  <w:vAlign w:val="center"/>
                  <w:tcBorders>
                    <w:top w:val="none" w:sz="0"/>
                    <w:left w:val="none" w:sz="0"/>
                    <w:right w:val="none" w:sz="0"/>
                    <w:bottom w:val="none" w:sz="0"/>
                  </w:tcBorders>
                </w:tcPr>
                <w:p>
                  <w:pPr>
                    <w:spacing w:before="20" w:after="20" w:line="264" w:lineRule="auto"/>
                    <w:ind w:firstLine="0"/>
                  </w:pPr>
                  <w:r>
                    <w:rPr>
                      <w:rFonts w:ascii="Times New Roman" w:hAnsi="Times New Roman" w:eastAsia="宋体"/>
                      <w:b w:val="0"/>
                      <w:color w:val="000000"/>
                      <w:sz w:val="24"/>
                    </w:rPr>
                    <w:t>合同名称</w:t>
                  </w:r>
                </w:p>
              </w:tc>
              <w:tc>
                <w:tcPr>
                  <w:tcW w:type="dxa" w:w="6236"/>
                  <w:vAlign w:val="center"/>
                  <w:tcBorders>
                    <w:top w:val="none" w:sz="0"/>
                    <w:left w:val="none" w:sz="0"/>
                    <w:right w:val="none" w:sz="0"/>
                    <w:bottom w:val="none" w:sz="0"/>
                  </w:tcBorders>
                </w:tcPr>
                <w:p>
                  <w:pPr>
                    <w:spacing w:before="20" w:after="20" w:line="264" w:lineRule="auto"/>
                    <w:ind w:firstLine="0"/>
                  </w:pPr>
                  <w:r>
                    <w:rPr>
                      <w:rFonts w:ascii="Times New Roman" w:hAnsi="Times New Roman" w:eastAsia="宋体"/>
                      <w:b/>
                      <w:color w:val="000000"/>
                      <w:sz w:val="24"/>
                    </w:rPr>
                    <w:t>技术服务合同</w:t>
                  </w:r>
                </w:p>
              </w:tc>
            </w:tr>
            <w:tr>
              <w:tc>
                <w:tcPr>
                  <w:tcW w:type="dxa" w:w="1814"/>
                  <w:vAlign w:val="center"/>
                  <w:tcBorders>
                    <w:top w:val="none" w:sz="0"/>
                    <w:left w:val="none" w:sz="0"/>
                    <w:right w:val="none" w:sz="0"/>
                    <w:bottom w:val="none" w:sz="0"/>
                  </w:tcBorders>
                </w:tcPr>
                <w:p>
                  <w:pPr>
                    <w:spacing w:before="20" w:after="20" w:line="264" w:lineRule="auto"/>
                    <w:ind w:firstLine="0"/>
                  </w:pPr>
                  <w:r>
                    <w:rPr>
                      <w:rFonts w:ascii="Times New Roman" w:hAnsi="Times New Roman" w:eastAsia="宋体"/>
                      <w:b w:val="0"/>
                      <w:color w:val="000000"/>
                      <w:sz w:val="24"/>
                    </w:rPr>
                    <w:t>审查编号</w:t>
                  </w:r>
                </w:p>
              </w:tc>
              <w:tc>
                <w:tcPr>
                  <w:tcW w:type="dxa" w:w="6236"/>
                  <w:vAlign w:val="center"/>
                  <w:tcBorders>
                    <w:top w:val="none" w:sz="0"/>
                    <w:left w:val="none" w:sz="0"/>
                    <w:right w:val="none" w:sz="0"/>
                    <w:bottom w:val="none" w:sz="0"/>
                  </w:tcBorders>
                </w:tcPr>
                <w:p>
                  <w:pPr>
                    <w:spacing w:before="20" w:after="20" w:line="264" w:lineRule="auto"/>
                    <w:ind w:firstLine="0"/>
                  </w:pPr>
                  <w:r>
                    <w:rPr>
                      <w:rFonts w:ascii="Times New Roman" w:hAnsi="Times New Roman" w:eastAsia="宋体"/>
                      <w:b/>
                      <w:color w:val="000000"/>
                      <w:sz w:val="24"/>
                    </w:rPr>
                    <w:t>MQC-REV-20260417-001</w:t>
                  </w:r>
                </w:p>
              </w:tc>
            </w:tr>
            <w:tr>
              <w:tc>
                <w:tcPr>
                  <w:tcW w:type="dxa" w:w="1814"/>
                  <w:vAlign w:val="center"/>
                  <w:tcBorders>
                    <w:top w:val="none" w:sz="0"/>
                    <w:left w:val="none" w:sz="0"/>
                    <w:right w:val="none" w:sz="0"/>
                    <w:bottom w:val="none" w:sz="0"/>
                  </w:tcBorders>
                </w:tcPr>
                <w:p>
                  <w:pPr>
                    <w:spacing w:before="20" w:after="20" w:line="264" w:lineRule="auto"/>
                    <w:ind w:firstLine="0"/>
                  </w:pPr>
                  <w:r>
                    <w:rPr>
                      <w:rFonts w:ascii="Times New Roman" w:hAnsi="Times New Roman" w:eastAsia="宋体"/>
                      <w:b w:val="0"/>
                      <w:color w:val="000000"/>
                      <w:sz w:val="24"/>
                    </w:rPr>
                    <w:t>委托方</w:t>
                  </w:r>
                </w:p>
              </w:tc>
              <w:tc>
                <w:tcPr>
                  <w:tcW w:type="dxa" w:w="6236"/>
                  <w:vAlign w:val="center"/>
                  <w:tcBorders>
                    <w:top w:val="none" w:sz="0"/>
                    <w:left w:val="none" w:sz="0"/>
                    <w:right w:val="none" w:sz="0"/>
                    <w:bottom w:val="none" w:sz="0"/>
                  </w:tcBorders>
                </w:tcPr>
                <w:p>
                  <w:pPr>
                    <w:spacing w:before="20" w:after="20" w:line="264" w:lineRule="auto"/>
                    <w:ind w:firstLine="0"/>
                  </w:pPr>
                  <w:r>
                    <w:rPr>
                      <w:rFonts w:ascii="Times New Roman" w:hAnsi="Times New Roman" w:eastAsia="宋体"/>
                      <w:b/>
                      <w:color w:val="000000"/>
                      <w:sz w:val="24"/>
                    </w:rPr>
                    <w:t>北京 XX 科技有限公司</w:t>
                  </w:r>
                </w:p>
              </w:tc>
            </w:tr>
            <w:tr>
              <w:tc>
                <w:tcPr>
                  <w:tcW w:type="dxa" w:w="1814"/>
                  <w:vAlign w:val="center"/>
                  <w:tcBorders>
                    <w:top w:val="none" w:sz="0"/>
                    <w:left w:val="none" w:sz="0"/>
                    <w:right w:val="none" w:sz="0"/>
                    <w:bottom w:val="none" w:sz="0"/>
                  </w:tcBorders>
                </w:tcPr>
                <w:p>
                  <w:pPr>
                    <w:spacing w:before="20" w:after="20" w:line="264" w:lineRule="auto"/>
                    <w:ind w:firstLine="0"/>
                  </w:pPr>
                  <w:r>
                    <w:rPr>
                      <w:rFonts w:ascii="Times New Roman" w:hAnsi="Times New Roman" w:eastAsia="宋体"/>
                      <w:b w:val="0"/>
                      <w:color w:val="000000"/>
                      <w:sz w:val="24"/>
                    </w:rPr>
                    <w:t>经办律师</w:t>
                  </w:r>
                </w:p>
              </w:tc>
              <w:tc>
                <w:tcPr>
                  <w:tcW w:type="dxa" w:w="6236"/>
                  <w:vAlign w:val="center"/>
                  <w:tcBorders>
                    <w:top w:val="none" w:sz="0"/>
                    <w:left w:val="none" w:sz="0"/>
                    <w:right w:val="none" w:sz="0"/>
                    <w:bottom w:val="none" w:sz="0"/>
                  </w:tcBorders>
                </w:tcPr>
                <w:p>
                  <w:pPr>
                    <w:spacing w:before="20" w:after="20" w:line="264" w:lineRule="auto"/>
                    <w:ind w:firstLine="0"/>
                  </w:pPr>
                  <w:r>
                    <w:rPr>
                      <w:rFonts w:ascii="Times New Roman" w:hAnsi="Times New Roman" w:eastAsia="宋体"/>
                      <w:b/>
                      <w:color w:val="000000"/>
                      <w:sz w:val="24"/>
                    </w:rPr>
                    <w:t>缪奇川 · 北京市东友律师事务所</w:t>
                  </w:r>
                </w:p>
              </w:tc>
            </w:tr>
            <w:tr>
              <w:tc>
                <w:tcPr>
                  <w:tcW w:type="dxa" w:w="1814"/>
                  <w:vAlign w:val="center"/>
                  <w:tcBorders>
                    <w:top w:val="none" w:sz="0"/>
                    <w:left w:val="none" w:sz="0"/>
                    <w:right w:val="none" w:sz="0"/>
                    <w:bottom w:val="none" w:sz="0"/>
                  </w:tcBorders>
                </w:tcPr>
                <w:p>
                  <w:pPr>
                    <w:spacing w:before="20" w:after="20" w:line="264" w:lineRule="auto"/>
                    <w:ind w:firstLine="0"/>
                  </w:pPr>
                  <w:r>
                    <w:rPr>
                      <w:rFonts w:ascii="Times New Roman" w:hAnsi="Times New Roman" w:eastAsia="宋体"/>
                      <w:b w:val="0"/>
                      <w:color w:val="000000"/>
                      <w:sz w:val="24"/>
                    </w:rPr>
                    <w:t>审查立场</w:t>
                  </w:r>
                </w:p>
              </w:tc>
              <w:tc>
                <w:tcPr>
                  <w:tcW w:type="dxa" w:w="6236"/>
                  <w:vAlign w:val="center"/>
                  <w:tcBorders>
                    <w:top w:val="none" w:sz="0"/>
                    <w:left w:val="none" w:sz="0"/>
                    <w:right w:val="none" w:sz="0"/>
                    <w:bottom w:val="none" w:sz="0"/>
                  </w:tcBorders>
                </w:tcPr>
                <w:p>
                  <w:pPr>
                    <w:spacing w:before="20" w:after="20" w:line="264" w:lineRule="auto"/>
                    <w:ind w:firstLine="0"/>
                  </w:pPr>
                  <w:r>
                    <w:rPr>
                      <w:rFonts w:ascii="Times New Roman" w:hAnsi="Times New Roman" w:eastAsia="宋体"/>
                      <w:b/>
                      <w:color w:val="000000"/>
                      <w:sz w:val="24"/>
                    </w:rPr>
                    <w:t>甲方立场</w:t>
                  </w:r>
                </w:p>
              </w:tc>
            </w:tr>
            <w:tr>
              <w:tc>
                <w:tcPr>
                  <w:tcW w:type="dxa" w:w="1814"/>
                  <w:vAlign w:val="center"/>
                  <w:tcBorders>
                    <w:top w:val="none" w:sz="0"/>
                    <w:left w:val="none" w:sz="0"/>
                    <w:right w:val="none" w:sz="0"/>
                    <w:bottom w:val="none" w:sz="0"/>
                  </w:tcBorders>
                </w:tcPr>
                <w:p>
                  <w:pPr>
                    <w:spacing w:before="20" w:after="20" w:line="264" w:lineRule="auto"/>
                    <w:ind w:firstLine="0"/>
                  </w:pPr>
                  <w:r>
                    <w:rPr>
                      <w:rFonts w:ascii="Times New Roman" w:hAnsi="Times New Roman" w:eastAsia="宋体"/>
                      <w:b w:val="0"/>
                      <w:color w:val="000000"/>
                      <w:sz w:val="24"/>
                    </w:rPr>
                    <w:t>审查日期</w:t>
                  </w:r>
                </w:p>
              </w:tc>
              <w:tc>
                <w:tcPr>
                  <w:tcW w:type="dxa" w:w="6236"/>
                  <w:vAlign w:val="center"/>
                  <w:tcBorders>
                    <w:top w:val="none" w:sz="0"/>
                    <w:left w:val="none" w:sz="0"/>
                    <w:right w:val="none" w:sz="0"/>
                    <w:bottom w:val="none" w:sz="0"/>
                  </w:tcBorders>
                </w:tcPr>
                <w:p>
                  <w:pPr>
                    <w:spacing w:before="20" w:after="20" w:line="264" w:lineRule="auto"/>
                    <w:ind w:firstLine="0"/>
                  </w:pPr>
                  <w:r>
                    <w:rPr>
                      <w:rFonts w:ascii="Times New Roman" w:hAnsi="Times New Roman" w:eastAsia="宋体"/>
                      <w:b/>
                      <w:color w:val="000000"/>
                      <w:sz w:val="24"/>
                    </w:rPr>
                    <w:t>2026 年 4 月 17 日</w:t>
                  </w:r>
                </w:p>
              </w:tc>
            </w:tr>
          </w:tbl>
          <w:p/>
        </w:tc>
      </w:tr>
      <w:tr>
        <w:tc>
          <w:tcPr>
            <w:tcW w:type="dxa" w:w="8504"/>
            <w:tcBorders>
              <w:top w:val="none" w:sz="0"/>
              <w:left w:val="none" w:sz="0"/>
              <w:right w:val="none" w:sz="0"/>
              <w:bottom w:val="none" w:sz="0"/>
            </w:tcBorders>
            <w:tcMar>
              <w:top w:w="0" w:type="dxa"/>
              <w:left w:w="0" w:type="dxa"/>
              <w:right w:w="0" w:type="dxa"/>
              <w:bottom w:w="0" w:type="dxa"/>
            </w:tcMar>
          </w:tcPr>
          <w:p>
            <w:pPr>
              <w:spacing w:before="0" w:after="0" w:line="240" w:lineRule="auto"/>
              <w:ind w:firstLine="0"/>
            </w:pPr>
            <w:r>
              <w:rPr>
                <w:rFonts w:ascii="Times New Roman" w:hAnsi="Times New Roman" w:eastAsia="宋体"/>
                <w:b w:val="0"/>
                <w:color w:val="000000"/>
                <w:sz w:val="2"/>
              </w:rPr>
            </w:r>
          </w:p>
          <w:tbl>
            <w:tblPr>
              <w:tblW w:type="auto" w:w="0"/>
              <w:jc w:val="left"/>
              <w:tblLook w:firstColumn="1" w:firstRow="1" w:lastColumn="0" w:lastRow="0" w:noHBand="0" w:noVBand="1" w:val="04A0"/>
            </w:tblPr>
            <w:tblGrid>
              <w:gridCol w:w="8504"/>
            </w:tblGrid>
            <w:tr>
              <w:trPr>
                <w:trHeight w:val="20" w:hRule="exact"/>
              </w:trPr>
              <w:tc>
                <w:tcPr>
                  <w:tcW w:type="dxa" w:w="7937"/>
                  <w:shd w:val="clear" w:color="auto" w:fill="1387C0"/>
                  <w:tcBorders>
                    <w:top w:val="none" w:sz="0"/>
                    <w:left w:val="none" w:sz="0"/>
                    <w:right w:val="none" w:sz="0"/>
                    <w:bottom w:val="none" w:sz="0"/>
                  </w:tcBorders>
                  <w:tcMar>
                    <w:top w:w="0" w:type="dxa"/>
                    <w:left w:w="0" w:type="dxa"/>
                    <w:right w:w="0" w:type="dxa"/>
                    <w:bottom w:w="0" w:type="dxa"/>
                  </w:tcMar>
                </w:tcPr>
                <w:p>
                  <w:pPr>
                    <w:spacing w:before="0" w:after="0" w:line="20" w:lineRule="exact"/>
                    <w:ind w:firstLine="0"/>
                  </w:pPr>
                </w:p>
              </w:tc>
            </w:tr>
          </w:tbl>
          <w:p/>
        </w:tc>
      </w:tr>
      <w:tr>
        <w:tc>
          <w:tcPr>
            <w:tcW w:type="dxa" w:w="8504"/>
            <w:tcBorders>
              <w:top w:val="none" w:sz="0"/>
              <w:left w:val="none" w:sz="0"/>
              <w:right w:val="none" w:sz="0"/>
              <w:bottom w:val="none" w:sz="0"/>
            </w:tcBorders>
            <w:tcMar>
              <w:top w:w="0" w:type="dxa"/>
              <w:left w:w="0" w:type="dxa"/>
              <w:right w:w="0" w:type="dxa"/>
              <w:bottom w:w="0" w:type="dxa"/>
            </w:tcMar>
          </w:tcPr>
          <w:p>
            <w:pPr>
              <w:spacing w:before="0" w:after="0" w:line="240" w:lineRule="auto"/>
              <w:ind w:firstLine="0"/>
            </w:pPr>
            <w:r>
              <w:rPr>
                <w:rFonts w:ascii="Times New Roman" w:hAnsi="Times New Roman" w:eastAsia="宋体"/>
                <w:b w:val="0"/>
                <w:color w:val="000000"/>
                <w:sz w:val="12"/>
              </w:rPr>
              <w:t xml:space="preserve"> </w:t>
            </w:r>
          </w:p>
        </w:tc>
      </w:tr>
      <w:tr>
        <w:tc>
          <w:tcPr>
            <w:tcW w:type="dxa" w:w="8504"/>
            <w:tcBorders>
              <w:top w:val="none" w:sz="0"/>
              <w:left w:val="none" w:sz="0"/>
              <w:right w:val="none" w:sz="0"/>
              <w:bottom w:val="none" w:sz="0"/>
            </w:tcBorders>
            <w:tcMar>
              <w:top w:w="0" w:type="dxa"/>
              <w:left w:w="0" w:type="dxa"/>
              <w:right w:w="0" w:type="dxa"/>
              <w:bottom w:w="0" w:type="dxa"/>
            </w:tcMar>
          </w:tcPr>
          <w:p>
            <w:pPr>
              <w:spacing w:before="0" w:after="0" w:line="240" w:lineRule="auto"/>
              <w:ind w:firstLine="0"/>
              <w:jc w:val="left"/>
            </w:pPr>
            <w:r>
              <w:rPr>
                <w:rFonts w:ascii="Times New Roman" w:hAnsi="Times New Roman" w:eastAsia="宋体"/>
                <w:b w:val="0"/>
                <w:color w:val="000000"/>
                <w:sz w:val="18"/>
              </w:rPr>
              <w:t>LEGAL AI TOOLMAKER  ·  法律工具制造者  |  缪奇川律师 出品</w:t>
            </w:r>
          </w:p>
        </w:tc>
      </w:tr>
    </w:tbl>
    <w:p>
      <w:r>
        <w:br w:type="page"/>
      </w:r>
    </w:p>
    <w:p>
      <w:pPr>
        <w:pStyle w:val="Heading1"/>
        <w:spacing w:line="360" w:lineRule="auto" w:before="320" w:after="160"/>
        <w:ind w:firstLine="482"/>
        <w:jc w:val="both"/>
      </w:pPr>
      <w:r>
        <w:rPr>
          <w:rFonts w:ascii="Times New Roman" w:hAnsi="Times New Roman" w:eastAsia="宋体"/>
          <w:b/>
          <w:color w:val="000000"/>
          <w:sz w:val="32"/>
        </w:rPr>
        <w:t>一、审查基本信息</w:t>
      </w:r>
    </w:p>
    <w:tbl>
      <w:tblPr>
        <w:tblW w:type="auto" w:w="0"/>
        <w:jc w:val="left"/>
        <w:tblLook w:firstColumn="1" w:firstRow="1" w:lastColumn="0" w:lastRow="0" w:noHBand="0" w:noVBand="1" w:val="04A0"/>
      </w:tblPr>
      <w:tblGrid>
        <w:gridCol w:w="4323"/>
        <w:gridCol w:w="4323"/>
      </w:tblGrid>
      <w:tr>
        <w:tc>
          <w:tcPr>
            <w:tcW w:type="dxa" w:w="198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color w:val="000000"/>
                <w:sz w:val="24"/>
              </w:rPr>
              <w:t>合同名称</w:t>
            </w:r>
          </w:p>
        </w:tc>
        <w:tc>
          <w:tcPr>
            <w:tcW w:type="dxa" w:w="765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4"/>
              </w:rPr>
              <w:t>技术服务合同</w:t>
            </w:r>
          </w:p>
        </w:tc>
      </w:tr>
      <w:tr>
        <w:tc>
          <w:tcPr>
            <w:tcW w:type="dxa" w:w="198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color w:val="000000"/>
                <w:sz w:val="24"/>
              </w:rPr>
              <w:t>合同金额</w:t>
            </w:r>
          </w:p>
        </w:tc>
        <w:tc>
          <w:tcPr>
            <w:tcW w:type="dxa" w:w="765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4"/>
              </w:rPr>
              <w:t>人民币 860,000.00 元</w:t>
            </w:r>
          </w:p>
        </w:tc>
      </w:tr>
      <w:tr>
        <w:tc>
          <w:tcPr>
            <w:tcW w:type="dxa" w:w="198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color w:val="000000"/>
                <w:sz w:val="24"/>
              </w:rPr>
              <w:t>合同期限</w:t>
            </w:r>
          </w:p>
        </w:tc>
        <w:tc>
          <w:tcPr>
            <w:tcW w:type="dxa" w:w="765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4"/>
              </w:rPr>
              <w:t>自合同生效之日起 12 个月</w:t>
            </w:r>
          </w:p>
        </w:tc>
      </w:tr>
      <w:tr>
        <w:tc>
          <w:tcPr>
            <w:tcW w:type="dxa" w:w="198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color w:val="000000"/>
                <w:sz w:val="24"/>
              </w:rPr>
              <w:t>甲方</w:t>
            </w:r>
          </w:p>
        </w:tc>
        <w:tc>
          <w:tcPr>
            <w:tcW w:type="dxa" w:w="765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4"/>
              </w:rPr>
              <w:t>北京 XX 科技有限公司</w:t>
            </w:r>
          </w:p>
        </w:tc>
      </w:tr>
      <w:tr>
        <w:tc>
          <w:tcPr>
            <w:tcW w:type="dxa" w:w="198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color w:val="000000"/>
                <w:sz w:val="24"/>
              </w:rPr>
              <w:t>乙方</w:t>
            </w:r>
          </w:p>
        </w:tc>
        <w:tc>
          <w:tcPr>
            <w:tcW w:type="dxa" w:w="765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4"/>
              </w:rPr>
              <w:t>上海 YY 信息技术有限公司</w:t>
            </w:r>
          </w:p>
        </w:tc>
      </w:tr>
      <w:tr>
        <w:tc>
          <w:tcPr>
            <w:tcW w:type="dxa" w:w="198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color w:val="000000"/>
                <w:sz w:val="24"/>
              </w:rPr>
              <w:t>审查立场</w:t>
            </w:r>
          </w:p>
        </w:tc>
        <w:tc>
          <w:tcPr>
            <w:tcW w:type="dxa" w:w="765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4"/>
              </w:rPr>
              <w:t>甲方立场</w:t>
            </w:r>
          </w:p>
        </w:tc>
      </w:tr>
      <w:tr>
        <w:tc>
          <w:tcPr>
            <w:tcW w:type="dxa" w:w="198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color w:val="000000"/>
                <w:sz w:val="24"/>
              </w:rPr>
              <w:t>审查日期</w:t>
            </w:r>
          </w:p>
        </w:tc>
        <w:tc>
          <w:tcPr>
            <w:tcW w:type="dxa" w:w="765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4"/>
              </w:rPr>
              <w:t>2026 年 4 月 17 日</w:t>
            </w:r>
          </w:p>
        </w:tc>
      </w:tr>
      <w:tr>
        <w:tc>
          <w:tcPr>
            <w:tcW w:type="dxa" w:w="198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color w:val="000000"/>
                <w:sz w:val="24"/>
              </w:rPr>
              <w:t>审查依据</w:t>
            </w:r>
          </w:p>
        </w:tc>
        <w:tc>
          <w:tcPr>
            <w:tcW w:type="dxa" w:w="765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4"/>
              </w:rPr>
              <w:t>标准审查清单 v1.0.0</w:t>
            </w:r>
          </w:p>
        </w:tc>
      </w:tr>
      <w:tr>
        <w:tc>
          <w:tcPr>
            <w:tcW w:type="dxa" w:w="198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color w:val="000000"/>
                <w:sz w:val="24"/>
              </w:rPr>
              <w:t>审查范围</w:t>
            </w:r>
          </w:p>
        </w:tc>
        <w:tc>
          <w:tcPr>
            <w:tcW w:type="dxa" w:w="765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4"/>
              </w:rPr>
              <w:t>合同正文 15 页 + 附件 3 项(共 23 页)</w:t>
            </w:r>
          </w:p>
        </w:tc>
      </w:tr>
      <w:tr>
        <w:tc>
          <w:tcPr>
            <w:tcW w:type="dxa" w:w="198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color w:val="000000"/>
                <w:sz w:val="24"/>
              </w:rPr>
              <w:t>审查编号</w:t>
            </w:r>
          </w:p>
        </w:tc>
        <w:tc>
          <w:tcPr>
            <w:tcW w:type="dxa" w:w="765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4"/>
              </w:rPr>
              <w:t>MQC-REV-20260417-001</w:t>
            </w:r>
          </w:p>
        </w:tc>
      </w:tr>
    </w:tbl>
    <w:p>
      <w:pPr>
        <w:pStyle w:val="Heading1"/>
        <w:spacing w:line="360" w:lineRule="auto" w:before="320" w:after="160"/>
        <w:ind w:firstLine="482"/>
        <w:jc w:val="both"/>
      </w:pPr>
      <w:r>
        <w:rPr>
          <w:rFonts w:ascii="Times New Roman" w:hAnsi="Times New Roman" w:eastAsia="宋体"/>
          <w:b/>
          <w:color w:val="000000"/>
          <w:sz w:val="32"/>
        </w:rPr>
        <w:t>二、执行摘要</w:t>
      </w:r>
    </w:p>
    <w:p>
      <w:pPr>
        <w:spacing w:line="360" w:lineRule="auto" w:before="0" w:after="0"/>
        <w:ind w:firstLine="482"/>
        <w:jc w:val="both"/>
      </w:pPr>
      <w:r>
        <w:rPr>
          <w:rFonts w:ascii="Times New Roman" w:hAnsi="Times New Roman" w:eastAsia="宋体"/>
          <w:b w:val="0"/>
          <w:color w:val="000000"/>
          <w:sz w:val="24"/>
        </w:rPr>
        <w:t>本章以一页篇幅呈现报告的核心结论,便于决策者快速了解。</w:t>
      </w:r>
    </w:p>
    <w:p>
      <w:pPr>
        <w:pStyle w:val="Heading2"/>
        <w:spacing w:line="360" w:lineRule="auto" w:before="160" w:after="160"/>
        <w:ind w:firstLine="482"/>
        <w:jc w:val="both"/>
      </w:pPr>
      <w:r>
        <w:rPr>
          <w:rFonts w:ascii="Times New Roman" w:hAnsi="Times New Roman" w:eastAsia="宋体"/>
          <w:b/>
          <w:color w:val="000000"/>
          <w:sz w:val="28"/>
        </w:rPr>
        <w:t>2.1 综合风险评级</w:t>
      </w:r>
    </w:p>
    <w:p>
      <w:pPr>
        <w:spacing w:line="360" w:lineRule="auto" w:before="0" w:after="0"/>
        <w:jc w:val="both"/>
      </w:pPr>
      <w:r>
        <w:rPr>
          <w:rFonts w:ascii="Times New Roman" w:hAnsi="Times New Roman" w:eastAsia="宋体"/>
          <w:b/>
          <w:color w:val="000000"/>
          <w:sz w:val="24"/>
        </w:rPr>
        <w:t xml:space="preserve">评级:  </w:t>
      </w:r>
      <w:r>
        <w:rPr>
          <w:rFonts w:ascii="Times New Roman" w:hAnsi="Times New Roman" w:eastAsia="宋体"/>
          <w:b/>
          <w:color w:val="FF9900"/>
          <w:sz w:val="24"/>
        </w:rPr>
        <w:t>■ 中风险</w:t>
      </w:r>
    </w:p>
    <w:p>
      <w:pPr>
        <w:pStyle w:val="Heading2"/>
        <w:spacing w:line="360" w:lineRule="auto" w:before="160" w:after="160"/>
        <w:ind w:firstLine="482"/>
        <w:jc w:val="both"/>
      </w:pPr>
      <w:r>
        <w:rPr>
          <w:rFonts w:ascii="Times New Roman" w:hAnsi="Times New Roman" w:eastAsia="宋体"/>
          <w:b/>
          <w:color w:val="000000"/>
          <w:sz w:val="28"/>
        </w:rPr>
        <w:t>2.2 可签性判断</w:t>
      </w:r>
    </w:p>
    <w:p>
      <w:pPr>
        <w:spacing w:line="360" w:lineRule="auto" w:before="0" w:after="0"/>
        <w:jc w:val="both"/>
      </w:pPr>
      <w:r>
        <w:rPr>
          <w:rFonts w:ascii="Times New Roman" w:hAnsi="Times New Roman" w:eastAsia="宋体"/>
          <w:b/>
          <w:color w:val="000000"/>
          <w:sz w:val="24"/>
        </w:rPr>
        <w:t xml:space="preserve">判断:  </w:t>
      </w:r>
      <w:r>
        <w:rPr>
          <w:rFonts w:ascii="Times New Roman" w:hAnsi="Times New Roman" w:eastAsia="宋体"/>
          <w:b/>
          <w:color w:val="000000"/>
          <w:sz w:val="24"/>
        </w:rPr>
        <w:t>■ 修改后签约</w:t>
      </w:r>
    </w:p>
    <w:p>
      <w:pPr>
        <w:pStyle w:val="Heading2"/>
        <w:spacing w:line="360" w:lineRule="auto" w:before="160" w:after="160"/>
        <w:ind w:firstLine="482"/>
        <w:jc w:val="both"/>
      </w:pPr>
      <w:r>
        <w:rPr>
          <w:rFonts w:ascii="Times New Roman" w:hAnsi="Times New Roman" w:eastAsia="宋体"/>
          <w:b/>
          <w:color w:val="000000"/>
          <w:sz w:val="28"/>
        </w:rPr>
        <w:t>2.3 审查结论摘要</w:t>
      </w:r>
    </w:p>
    <w:p>
      <w:pPr>
        <w:spacing w:line="360" w:lineRule="auto" w:before="0" w:after="0"/>
        <w:ind w:firstLine="482"/>
        <w:jc w:val="both"/>
      </w:pPr>
      <w:r>
        <w:rPr>
          <w:rFonts w:ascii="Times New Roman" w:hAnsi="Times New Roman" w:eastAsia="宋体"/>
          <w:b w:val="0"/>
          <w:color w:val="000000"/>
          <w:sz w:val="24"/>
        </w:rPr>
        <w:t>本合同为技术服务外包交易。审查发现 ■ 高风险 2 处、■ 中风险 2 处、■ 低风险 1 处,综合评级 ■ 中风险,建议修改后签约。核心问题集中在:(1) 乙方承担无限连带责任;(2) 大小写金额不一致;(3) 违约金比例超标。其中问题 (1) 必须优先协商;(2) 为 L1 可直接修改;(3) 建议协商调整至行业合理区间。</w:t>
      </w:r>
    </w:p>
    <w:p>
      <w:pPr>
        <w:pStyle w:val="Heading2"/>
        <w:spacing w:line="360" w:lineRule="auto" w:before="160" w:after="160"/>
        <w:ind w:firstLine="482"/>
        <w:jc w:val="both"/>
      </w:pPr>
      <w:r>
        <w:rPr>
          <w:rFonts w:ascii="Times New Roman" w:hAnsi="Times New Roman" w:eastAsia="宋体"/>
          <w:b/>
          <w:color w:val="000000"/>
          <w:sz w:val="28"/>
        </w:rPr>
        <w:t>2.4 优先处理事项(Top 3)</w:t>
      </w:r>
    </w:p>
    <w:tbl>
      <w:tblPr>
        <w:tblW w:type="auto" w:w="0"/>
        <w:jc w:val="center"/>
        <w:tblLook w:firstColumn="1" w:firstRow="1" w:lastColumn="0" w:lastRow="0" w:noHBand="0" w:noVBand="1" w:val="04A0"/>
      </w:tblPr>
      <w:tblGrid>
        <w:gridCol w:w="1729"/>
        <w:gridCol w:w="1729"/>
        <w:gridCol w:w="1729"/>
        <w:gridCol w:w="1729"/>
        <w:gridCol w:w="1729"/>
      </w:tblGrid>
      <w:tr>
        <w:tc>
          <w:tcPr>
            <w:tcW w:type="dxa" w:w="567"/>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color w:val="000000"/>
                <w:sz w:val="18"/>
              </w:rPr>
              <w:t>序号</w:t>
            </w:r>
          </w:p>
        </w:tc>
        <w:tc>
          <w:tcPr>
            <w:tcW w:type="dxa" w:w="2154"/>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color w:val="000000"/>
                <w:sz w:val="18"/>
              </w:rPr>
              <w:t>问题</w:t>
            </w:r>
          </w:p>
        </w:tc>
        <w:tc>
          <w:tcPr>
            <w:tcW w:type="dxa" w:w="1134"/>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color w:val="000000"/>
                <w:sz w:val="18"/>
              </w:rPr>
              <w:t>风险等级</w:t>
            </w:r>
          </w:p>
        </w:tc>
        <w:tc>
          <w:tcPr>
            <w:tcW w:type="dxa" w:w="1020"/>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color w:val="000000"/>
                <w:sz w:val="18"/>
              </w:rPr>
              <w:t>对应清单</w:t>
            </w:r>
          </w:p>
        </w:tc>
        <w:tc>
          <w:tcPr>
            <w:tcW w:type="dxa" w:w="3515"/>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color w:val="000000"/>
                <w:sz w:val="18"/>
              </w:rPr>
              <w:t>建议行动</w:t>
            </w:r>
          </w:p>
        </w:tc>
      </w:tr>
      <w:tr>
        <w:tc>
          <w:tcPr>
            <w:tcW w:type="dxa" w:w="567"/>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val="0"/>
                <w:color w:val="000000"/>
                <w:sz w:val="18"/>
              </w:rPr>
              <w:t>1</w:t>
            </w:r>
          </w:p>
        </w:tc>
        <w:tc>
          <w:tcPr>
            <w:tcW w:type="dxa" w:w="2154"/>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pPr>
            <w:r>
              <w:rPr>
                <w:rFonts w:ascii="Times New Roman" w:hAnsi="Times New Roman" w:eastAsia="宋体"/>
                <w:b w:val="0"/>
                <w:color w:val="000000"/>
                <w:sz w:val="18"/>
              </w:rPr>
              <w:t>乙方承担无限连带责任</w:t>
            </w:r>
          </w:p>
        </w:tc>
        <w:tc>
          <w:tcPr>
            <w:tcW w:type="dxa" w:w="1134"/>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color w:val="FF0000"/>
                <w:sz w:val="18"/>
              </w:rPr>
              <w:t>■ 高风险</w:t>
            </w:r>
          </w:p>
        </w:tc>
        <w:tc>
          <w:tcPr>
            <w:tcW w:type="dxa" w:w="1020"/>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val="0"/>
                <w:color w:val="000000"/>
                <w:sz w:val="18"/>
              </w:rPr>
              <w:t>C025</w:t>
            </w:r>
          </w:p>
        </w:tc>
        <w:tc>
          <w:tcPr>
            <w:tcW w:type="dxa" w:w="3515"/>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pPr>
            <w:r>
              <w:rPr>
                <w:rFonts w:ascii="Times New Roman" w:hAnsi="Times New Roman" w:eastAsia="宋体"/>
                <w:b w:val="0"/>
                <w:color w:val="000000"/>
                <w:sz w:val="18"/>
              </w:rPr>
              <w:t>立即与对方协商,无法修改则不签</w:t>
            </w:r>
          </w:p>
        </w:tc>
      </w:tr>
      <w:tr>
        <w:tc>
          <w:tcPr>
            <w:tcW w:type="dxa" w:w="567"/>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40" w:after="40" w:line="276" w:lineRule="auto"/>
              <w:ind w:firstLine="0"/>
              <w:jc w:val="center"/>
            </w:pPr>
            <w:r>
              <w:rPr>
                <w:rFonts w:ascii="Times New Roman" w:hAnsi="Times New Roman" w:eastAsia="宋体"/>
                <w:b w:val="0"/>
                <w:color w:val="000000"/>
                <w:sz w:val="18"/>
              </w:rPr>
              <w:t>2</w:t>
            </w:r>
          </w:p>
        </w:tc>
        <w:tc>
          <w:tcPr>
            <w:tcW w:type="dxa" w:w="2154"/>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40" w:after="40" w:line="276" w:lineRule="auto"/>
              <w:ind w:firstLine="0"/>
            </w:pPr>
            <w:r>
              <w:rPr>
                <w:rFonts w:ascii="Times New Roman" w:hAnsi="Times New Roman" w:eastAsia="宋体"/>
                <w:b w:val="0"/>
                <w:color w:val="000000"/>
                <w:sz w:val="18"/>
              </w:rPr>
              <w:t>大小写金额不一致</w:t>
            </w:r>
          </w:p>
        </w:tc>
        <w:tc>
          <w:tcPr>
            <w:tcW w:type="dxa" w:w="1134"/>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40" w:after="40" w:line="276" w:lineRule="auto"/>
              <w:ind w:firstLine="0"/>
              <w:jc w:val="center"/>
            </w:pPr>
            <w:r>
              <w:rPr>
                <w:rFonts w:ascii="Times New Roman" w:hAnsi="Times New Roman" w:eastAsia="宋体"/>
                <w:b/>
                <w:color w:val="FF0000"/>
                <w:sz w:val="18"/>
              </w:rPr>
              <w:t>■ 高风险</w:t>
            </w:r>
          </w:p>
        </w:tc>
        <w:tc>
          <w:tcPr>
            <w:tcW w:type="dxa" w:w="1020"/>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40" w:after="40" w:line="276" w:lineRule="auto"/>
              <w:ind w:firstLine="0"/>
              <w:jc w:val="center"/>
            </w:pPr>
            <w:r>
              <w:rPr>
                <w:rFonts w:ascii="Times New Roman" w:hAnsi="Times New Roman" w:eastAsia="宋体"/>
                <w:b w:val="0"/>
                <w:color w:val="000000"/>
                <w:sz w:val="18"/>
              </w:rPr>
              <w:t>C010</w:t>
            </w:r>
          </w:p>
        </w:tc>
        <w:tc>
          <w:tcPr>
            <w:tcW w:type="dxa" w:w="3515"/>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40" w:after="40" w:line="276" w:lineRule="auto"/>
              <w:ind w:firstLine="0"/>
            </w:pPr>
            <w:r>
              <w:rPr>
                <w:rFonts w:ascii="Times New Roman" w:hAnsi="Times New Roman" w:eastAsia="宋体"/>
                <w:b w:val="0"/>
                <w:color w:val="000000"/>
                <w:sz w:val="18"/>
              </w:rPr>
              <w:t>必须修正,保持一致</w:t>
            </w:r>
          </w:p>
        </w:tc>
      </w:tr>
      <w:tr>
        <w:tc>
          <w:tcPr>
            <w:tcW w:type="dxa" w:w="567"/>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val="0"/>
                <w:color w:val="000000"/>
                <w:sz w:val="18"/>
              </w:rPr>
              <w:t>3</w:t>
            </w:r>
          </w:p>
        </w:tc>
        <w:tc>
          <w:tcPr>
            <w:tcW w:type="dxa" w:w="2154"/>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pPr>
            <w:r>
              <w:rPr>
                <w:rFonts w:ascii="Times New Roman" w:hAnsi="Times New Roman" w:eastAsia="宋体"/>
                <w:b w:val="0"/>
                <w:color w:val="000000"/>
                <w:sz w:val="18"/>
              </w:rPr>
              <w:t>违约金比例超标</w:t>
            </w:r>
          </w:p>
        </w:tc>
        <w:tc>
          <w:tcPr>
            <w:tcW w:type="dxa" w:w="1134"/>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color w:val="FF9900"/>
                <w:sz w:val="18"/>
              </w:rPr>
              <w:t>■ 中风险</w:t>
            </w:r>
          </w:p>
        </w:tc>
        <w:tc>
          <w:tcPr>
            <w:tcW w:type="dxa" w:w="1020"/>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val="0"/>
                <w:color w:val="000000"/>
                <w:sz w:val="18"/>
              </w:rPr>
              <w:t>C021</w:t>
            </w:r>
          </w:p>
        </w:tc>
        <w:tc>
          <w:tcPr>
            <w:tcW w:type="dxa" w:w="3515"/>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pPr>
            <w:r>
              <w:rPr>
                <w:rFonts w:ascii="Times New Roman" w:hAnsi="Times New Roman" w:eastAsia="宋体"/>
                <w:b w:val="0"/>
                <w:color w:val="000000"/>
                <w:sz w:val="18"/>
              </w:rPr>
              <w:t>建议调整至 10%-20% 合理区间</w:t>
            </w:r>
          </w:p>
        </w:tc>
      </w:tr>
    </w:tbl>
    <w:p>
      <w:pPr>
        <w:pStyle w:val="Heading1"/>
        <w:spacing w:line="360" w:lineRule="auto" w:before="320" w:after="160"/>
        <w:ind w:firstLine="482"/>
        <w:jc w:val="both"/>
      </w:pPr>
      <w:r>
        <w:rPr>
          <w:rFonts w:ascii="Times New Roman" w:hAnsi="Times New Roman" w:eastAsia="宋体"/>
          <w:b/>
          <w:color w:val="000000"/>
          <w:sz w:val="32"/>
        </w:rPr>
        <w:t>三、风险发现汇总</w:t>
      </w:r>
    </w:p>
    <w:p>
      <w:pPr>
        <w:pStyle w:val="Heading2"/>
        <w:spacing w:line="360" w:lineRule="auto" w:before="160" w:after="160"/>
        <w:ind w:firstLine="482"/>
        <w:jc w:val="both"/>
      </w:pPr>
      <w:r>
        <w:rPr>
          <w:rFonts w:ascii="Times New Roman" w:hAnsi="Times New Roman" w:eastAsia="宋体"/>
          <w:b/>
          <w:color w:val="000000"/>
          <w:sz w:val="28"/>
        </w:rPr>
        <w:t>3.1 汇总表</w:t>
      </w:r>
    </w:p>
    <w:tbl>
      <w:tblPr>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567"/>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color w:val="000000"/>
                <w:sz w:val="18"/>
              </w:rPr>
              <w:t>序号</w:t>
            </w:r>
          </w:p>
        </w:tc>
        <w:tc>
          <w:tcPr>
            <w:tcW w:type="dxa" w:w="964"/>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color w:val="000000"/>
                <w:sz w:val="18"/>
              </w:rPr>
              <w:t>风险等级</w:t>
            </w:r>
          </w:p>
        </w:tc>
        <w:tc>
          <w:tcPr>
            <w:tcW w:type="dxa" w:w="624"/>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color w:val="000000"/>
                <w:sz w:val="18"/>
              </w:rPr>
              <w:t>层级</w:t>
            </w:r>
          </w:p>
        </w:tc>
        <w:tc>
          <w:tcPr>
            <w:tcW w:type="dxa" w:w="1134"/>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color w:val="000000"/>
                <w:sz w:val="18"/>
              </w:rPr>
              <w:t>条款位置</w:t>
            </w:r>
          </w:p>
        </w:tc>
        <w:tc>
          <w:tcPr>
            <w:tcW w:type="dxa" w:w="680"/>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color w:val="000000"/>
                <w:sz w:val="18"/>
              </w:rPr>
              <w:t>清单</w:t>
            </w:r>
          </w:p>
        </w:tc>
        <w:tc>
          <w:tcPr>
            <w:tcW w:type="dxa" w:w="1020"/>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color w:val="000000"/>
                <w:sz w:val="18"/>
              </w:rPr>
              <w:t>来源</w:t>
            </w:r>
          </w:p>
        </w:tc>
        <w:tc>
          <w:tcPr>
            <w:tcW w:type="dxa" w:w="3969"/>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color w:val="000000"/>
                <w:sz w:val="18"/>
              </w:rPr>
              <w:t>问题概述</w:t>
            </w:r>
          </w:p>
        </w:tc>
      </w:tr>
      <w:tr>
        <w:tc>
          <w:tcPr>
            <w:tcW w:type="dxa" w:w="567"/>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val="0"/>
                <w:color w:val="000000"/>
                <w:sz w:val="18"/>
              </w:rPr>
              <w:t>1</w:t>
            </w:r>
          </w:p>
        </w:tc>
        <w:tc>
          <w:tcPr>
            <w:tcW w:type="dxa" w:w="964"/>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color w:val="FF0000"/>
                <w:sz w:val="18"/>
              </w:rPr>
              <w:t>■ 高风险</w:t>
            </w:r>
          </w:p>
        </w:tc>
        <w:tc>
          <w:tcPr>
            <w:tcW w:type="dxa" w:w="624"/>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val="0"/>
                <w:color w:val="000000"/>
                <w:sz w:val="18"/>
              </w:rPr>
              <w:t>L3</w:t>
            </w:r>
          </w:p>
        </w:tc>
        <w:tc>
          <w:tcPr>
            <w:tcW w:type="dxa" w:w="1134"/>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pPr>
            <w:r>
              <w:rPr>
                <w:rFonts w:ascii="Times New Roman" w:hAnsi="Times New Roman" w:eastAsia="宋体"/>
                <w:b w:val="0"/>
                <w:color w:val="000000"/>
                <w:sz w:val="18"/>
              </w:rPr>
              <w:t>第 12.2 条</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val="0"/>
                <w:color w:val="000000"/>
                <w:sz w:val="18"/>
              </w:rPr>
              <w:t>C025</w:t>
            </w:r>
          </w:p>
        </w:tc>
        <w:tc>
          <w:tcPr>
            <w:tcW w:type="dxa" w:w="1020"/>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val="0"/>
                <w:color w:val="000000"/>
                <w:sz w:val="18"/>
              </w:rPr>
              <w:t>标准清单</w:t>
            </w:r>
          </w:p>
        </w:tc>
        <w:tc>
          <w:tcPr>
            <w:tcW w:type="dxa" w:w="3969"/>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pPr>
            <w:r>
              <w:rPr>
                <w:rFonts w:ascii="Times New Roman" w:hAnsi="Times New Roman" w:eastAsia="宋体"/>
                <w:b w:val="0"/>
                <w:color w:val="000000"/>
                <w:sz w:val="18"/>
              </w:rPr>
              <w:t>[精准] 乙方承担无限连带责任</w:t>
            </w:r>
          </w:p>
        </w:tc>
      </w:tr>
      <w:tr>
        <w:tc>
          <w:tcPr>
            <w:tcW w:type="dxa" w:w="567"/>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40" w:after="40" w:line="276" w:lineRule="auto"/>
              <w:ind w:firstLine="0"/>
              <w:jc w:val="center"/>
            </w:pPr>
            <w:r>
              <w:rPr>
                <w:rFonts w:ascii="Times New Roman" w:hAnsi="Times New Roman" w:eastAsia="宋体"/>
                <w:b w:val="0"/>
                <w:color w:val="000000"/>
                <w:sz w:val="18"/>
              </w:rPr>
              <w:t>2</w:t>
            </w:r>
          </w:p>
        </w:tc>
        <w:tc>
          <w:tcPr>
            <w:tcW w:type="dxa" w:w="964"/>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40" w:after="40" w:line="276" w:lineRule="auto"/>
              <w:ind w:firstLine="0"/>
              <w:jc w:val="center"/>
            </w:pPr>
            <w:r>
              <w:rPr>
                <w:rFonts w:ascii="Times New Roman" w:hAnsi="Times New Roman" w:eastAsia="宋体"/>
                <w:b/>
                <w:color w:val="FF0000"/>
                <w:sz w:val="18"/>
              </w:rPr>
              <w:t>■ 高风险</w:t>
            </w:r>
          </w:p>
        </w:tc>
        <w:tc>
          <w:tcPr>
            <w:tcW w:type="dxa" w:w="624"/>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40" w:after="40" w:line="276" w:lineRule="auto"/>
              <w:ind w:firstLine="0"/>
              <w:jc w:val="center"/>
            </w:pPr>
            <w:r>
              <w:rPr>
                <w:rFonts w:ascii="Times New Roman" w:hAnsi="Times New Roman" w:eastAsia="宋体"/>
                <w:b w:val="0"/>
                <w:color w:val="000000"/>
                <w:sz w:val="18"/>
              </w:rPr>
              <w:t>L1</w:t>
            </w:r>
          </w:p>
        </w:tc>
        <w:tc>
          <w:tcPr>
            <w:tcW w:type="dxa" w:w="1134"/>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40" w:after="40" w:line="276" w:lineRule="auto"/>
              <w:ind w:firstLine="0"/>
            </w:pPr>
            <w:r>
              <w:rPr>
                <w:rFonts w:ascii="Times New Roman" w:hAnsi="Times New Roman" w:eastAsia="宋体"/>
                <w:b w:val="0"/>
                <w:color w:val="000000"/>
                <w:sz w:val="18"/>
              </w:rPr>
              <w:t>第 3.1 条</w:t>
            </w:r>
          </w:p>
        </w:tc>
        <w:tc>
          <w:tcPr>
            <w:tcW w:type="dxa" w:w="680"/>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40" w:after="40" w:line="276" w:lineRule="auto"/>
              <w:ind w:firstLine="0"/>
              <w:jc w:val="center"/>
            </w:pPr>
            <w:r>
              <w:rPr>
                <w:rFonts w:ascii="Times New Roman" w:hAnsi="Times New Roman" w:eastAsia="宋体"/>
                <w:b w:val="0"/>
                <w:color w:val="000000"/>
                <w:sz w:val="18"/>
              </w:rPr>
              <w:t>C010</w:t>
            </w:r>
          </w:p>
        </w:tc>
        <w:tc>
          <w:tcPr>
            <w:tcW w:type="dxa" w:w="1020"/>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40" w:after="40" w:line="276" w:lineRule="auto"/>
              <w:ind w:firstLine="0"/>
              <w:jc w:val="center"/>
            </w:pPr>
            <w:r>
              <w:rPr>
                <w:rFonts w:ascii="Times New Roman" w:hAnsi="Times New Roman" w:eastAsia="宋体"/>
                <w:b w:val="0"/>
                <w:color w:val="000000"/>
                <w:sz w:val="18"/>
              </w:rPr>
              <w:t>标准清单</w:t>
            </w:r>
          </w:p>
        </w:tc>
        <w:tc>
          <w:tcPr>
            <w:tcW w:type="dxa" w:w="3969"/>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40" w:after="40" w:line="276" w:lineRule="auto"/>
              <w:ind w:firstLine="0"/>
            </w:pPr>
            <w:r>
              <w:rPr>
                <w:rFonts w:ascii="Times New Roman" w:hAnsi="Times New Roman" w:eastAsia="宋体"/>
                <w:b w:val="0"/>
                <w:color w:val="000000"/>
                <w:sz w:val="18"/>
              </w:rPr>
              <w:t>大小写金额不一致</w:t>
            </w:r>
          </w:p>
        </w:tc>
      </w:tr>
      <w:tr>
        <w:tc>
          <w:tcPr>
            <w:tcW w:type="dxa" w:w="567"/>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val="0"/>
                <w:color w:val="000000"/>
                <w:sz w:val="18"/>
              </w:rPr>
              <w:t>3</w:t>
            </w:r>
          </w:p>
        </w:tc>
        <w:tc>
          <w:tcPr>
            <w:tcW w:type="dxa" w:w="964"/>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color w:val="FF9900"/>
                <w:sz w:val="18"/>
              </w:rPr>
              <w:t>■ 中风险</w:t>
            </w:r>
          </w:p>
        </w:tc>
        <w:tc>
          <w:tcPr>
            <w:tcW w:type="dxa" w:w="624"/>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val="0"/>
                <w:color w:val="000000"/>
                <w:sz w:val="18"/>
              </w:rPr>
              <w:t>L3</w:t>
            </w:r>
          </w:p>
        </w:tc>
        <w:tc>
          <w:tcPr>
            <w:tcW w:type="dxa" w:w="1134"/>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pPr>
            <w:r>
              <w:rPr>
                <w:rFonts w:ascii="Times New Roman" w:hAnsi="Times New Roman" w:eastAsia="宋体"/>
                <w:b w:val="0"/>
                <w:color w:val="000000"/>
                <w:sz w:val="18"/>
              </w:rPr>
              <w:t>第 8.1 条</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val="0"/>
                <w:color w:val="000000"/>
                <w:sz w:val="18"/>
              </w:rPr>
              <w:t>C021</w:t>
            </w:r>
          </w:p>
        </w:tc>
        <w:tc>
          <w:tcPr>
            <w:tcW w:type="dxa" w:w="1020"/>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val="0"/>
                <w:color w:val="000000"/>
                <w:sz w:val="18"/>
              </w:rPr>
              <w:t>标准清单</w:t>
            </w:r>
          </w:p>
        </w:tc>
        <w:tc>
          <w:tcPr>
            <w:tcW w:type="dxa" w:w="3969"/>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pPr>
            <w:r>
              <w:rPr>
                <w:rFonts w:ascii="Times New Roman" w:hAnsi="Times New Roman" w:eastAsia="宋体"/>
                <w:b w:val="0"/>
                <w:color w:val="000000"/>
                <w:sz w:val="18"/>
              </w:rPr>
              <w:t>[精准] 违约金比例超标</w:t>
            </w:r>
          </w:p>
        </w:tc>
      </w:tr>
      <w:tr>
        <w:tc>
          <w:tcPr>
            <w:tcW w:type="dxa" w:w="567"/>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40" w:after="40" w:line="276" w:lineRule="auto"/>
              <w:ind w:firstLine="0"/>
              <w:jc w:val="center"/>
            </w:pPr>
            <w:r>
              <w:rPr>
                <w:rFonts w:ascii="Times New Roman" w:hAnsi="Times New Roman" w:eastAsia="宋体"/>
                <w:b w:val="0"/>
                <w:color w:val="000000"/>
                <w:sz w:val="18"/>
              </w:rPr>
              <w:t>4</w:t>
            </w:r>
          </w:p>
        </w:tc>
        <w:tc>
          <w:tcPr>
            <w:tcW w:type="dxa" w:w="964"/>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40" w:after="40" w:line="276" w:lineRule="auto"/>
              <w:ind w:firstLine="0"/>
              <w:jc w:val="center"/>
            </w:pPr>
            <w:r>
              <w:rPr>
                <w:rFonts w:ascii="Times New Roman" w:hAnsi="Times New Roman" w:eastAsia="宋体"/>
                <w:b/>
                <w:color w:val="FF9900"/>
                <w:sz w:val="18"/>
              </w:rPr>
              <w:t>■ 中风险</w:t>
            </w:r>
          </w:p>
        </w:tc>
        <w:tc>
          <w:tcPr>
            <w:tcW w:type="dxa" w:w="624"/>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40" w:after="40" w:line="276" w:lineRule="auto"/>
              <w:ind w:firstLine="0"/>
              <w:jc w:val="center"/>
            </w:pPr>
            <w:r>
              <w:rPr>
                <w:rFonts w:ascii="Times New Roman" w:hAnsi="Times New Roman" w:eastAsia="宋体"/>
                <w:b w:val="0"/>
                <w:color w:val="000000"/>
                <w:sz w:val="18"/>
              </w:rPr>
              <w:t>L2</w:t>
            </w:r>
          </w:p>
        </w:tc>
        <w:tc>
          <w:tcPr>
            <w:tcW w:type="dxa" w:w="1134"/>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40" w:after="40" w:line="276" w:lineRule="auto"/>
              <w:ind w:firstLine="0"/>
            </w:pPr>
            <w:r>
              <w:rPr>
                <w:rFonts w:ascii="Times New Roman" w:hAnsi="Times New Roman" w:eastAsia="宋体"/>
                <w:b w:val="0"/>
                <w:color w:val="000000"/>
                <w:sz w:val="18"/>
              </w:rPr>
              <w:t>第 8.3 条</w:t>
            </w:r>
          </w:p>
        </w:tc>
        <w:tc>
          <w:tcPr>
            <w:tcW w:type="dxa" w:w="680"/>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40" w:after="40" w:line="276" w:lineRule="auto"/>
              <w:ind w:firstLine="0"/>
              <w:jc w:val="center"/>
            </w:pPr>
            <w:r>
              <w:rPr>
                <w:rFonts w:ascii="Times New Roman" w:hAnsi="Times New Roman" w:eastAsia="宋体"/>
                <w:b w:val="0"/>
                <w:color w:val="000000"/>
                <w:sz w:val="18"/>
              </w:rPr>
              <w:t>C022</w:t>
            </w:r>
          </w:p>
        </w:tc>
        <w:tc>
          <w:tcPr>
            <w:tcW w:type="dxa" w:w="1020"/>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40" w:after="40" w:line="276" w:lineRule="auto"/>
              <w:ind w:firstLine="0"/>
              <w:jc w:val="center"/>
            </w:pPr>
            <w:r>
              <w:rPr>
                <w:rFonts w:ascii="Times New Roman" w:hAnsi="Times New Roman" w:eastAsia="宋体"/>
                <w:b w:val="0"/>
                <w:color w:val="000000"/>
                <w:sz w:val="18"/>
              </w:rPr>
              <w:t>Playbook 覆盖</w:t>
            </w:r>
          </w:p>
        </w:tc>
        <w:tc>
          <w:tcPr>
            <w:tcW w:type="dxa" w:w="3969"/>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40" w:after="40" w:line="276" w:lineRule="auto"/>
              <w:ind w:firstLine="0"/>
            </w:pPr>
            <w:r>
              <w:rPr>
                <w:rFonts w:ascii="Times New Roman" w:hAnsi="Times New Roman" w:eastAsia="宋体"/>
                <w:b w:val="0"/>
                <w:color w:val="000000"/>
                <w:sz w:val="18"/>
              </w:rPr>
              <w:t>双方逾期违约金不对等且日率畸高</w:t>
            </w:r>
          </w:p>
        </w:tc>
      </w:tr>
      <w:tr>
        <w:tc>
          <w:tcPr>
            <w:tcW w:type="dxa" w:w="567"/>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val="0"/>
                <w:color w:val="000000"/>
                <w:sz w:val="18"/>
              </w:rPr>
              <w:t>5</w:t>
            </w:r>
          </w:p>
        </w:tc>
        <w:tc>
          <w:tcPr>
            <w:tcW w:type="dxa" w:w="964"/>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color w:val="00A650"/>
                <w:sz w:val="18"/>
              </w:rPr>
              <w:t>■ 低风险</w:t>
            </w:r>
          </w:p>
        </w:tc>
        <w:tc>
          <w:tcPr>
            <w:tcW w:type="dxa" w:w="624"/>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val="0"/>
                <w:color w:val="000000"/>
                <w:sz w:val="18"/>
              </w:rPr>
              <w:t>L2</w:t>
            </w:r>
          </w:p>
        </w:tc>
        <w:tc>
          <w:tcPr>
            <w:tcW w:type="dxa" w:w="1134"/>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pPr>
            <w:r>
              <w:rPr>
                <w:rFonts w:ascii="Times New Roman" w:hAnsi="Times New Roman" w:eastAsia="宋体"/>
                <w:b w:val="0"/>
                <w:color w:val="000000"/>
                <w:sz w:val="18"/>
              </w:rPr>
              <w:t>第 15.1 条</w:t>
            </w:r>
          </w:p>
        </w:tc>
        <w:tc>
          <w:tcPr>
            <w:tcW w:type="dxa" w:w="680"/>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val="0"/>
                <w:color w:val="000000"/>
                <w:sz w:val="18"/>
              </w:rPr>
              <w:t>C050</w:t>
            </w:r>
          </w:p>
        </w:tc>
        <w:tc>
          <w:tcPr>
            <w:tcW w:type="dxa" w:w="1020"/>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jc w:val="center"/>
            </w:pPr>
            <w:r>
              <w:rPr>
                <w:rFonts w:ascii="Times New Roman" w:hAnsi="Times New Roman" w:eastAsia="宋体"/>
                <w:b w:val="0"/>
                <w:color w:val="000000"/>
                <w:sz w:val="18"/>
              </w:rPr>
              <w:t>标准清单</w:t>
            </w:r>
          </w:p>
        </w:tc>
        <w:tc>
          <w:tcPr>
            <w:tcW w:type="dxa" w:w="3969"/>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ind w:firstLine="0"/>
            </w:pPr>
            <w:r>
              <w:rPr>
                <w:rFonts w:ascii="Times New Roman" w:hAnsi="Times New Roman" w:eastAsia="宋体"/>
                <w:b w:val="0"/>
                <w:color w:val="000000"/>
                <w:sz w:val="18"/>
              </w:rPr>
              <w:t>送达地址未明确</w:t>
            </w:r>
          </w:p>
        </w:tc>
      </w:tr>
    </w:tbl>
    <w:p>
      <w:pPr>
        <w:pStyle w:val="Heading2"/>
        <w:spacing w:line="360" w:lineRule="auto" w:before="160" w:after="160"/>
        <w:ind w:firstLine="482"/>
        <w:jc w:val="both"/>
      </w:pPr>
      <w:r>
        <w:rPr>
          <w:rFonts w:ascii="Times New Roman" w:hAnsi="Times New Roman" w:eastAsia="宋体"/>
          <w:b/>
          <w:color w:val="000000"/>
          <w:sz w:val="28"/>
        </w:rPr>
        <w:t>3.2 风险等级统计</w:t>
      </w:r>
    </w:p>
    <w:p>
      <w:pPr>
        <w:spacing w:line="360" w:lineRule="auto" w:before="0" w:after="0"/>
        <w:ind w:firstLine="482"/>
        <w:jc w:val="both"/>
      </w:pPr>
      <w:r>
        <w:rPr>
          <w:rFonts w:ascii="Times New Roman" w:hAnsi="Times New Roman" w:eastAsia="宋体"/>
          <w:b w:val="0"/>
          <w:color w:val="000000"/>
          <w:sz w:val="24"/>
        </w:rPr>
        <w:t>本合同共发现 5 处风险:</w:t>
      </w:r>
    </w:p>
    <w:p>
      <w:pPr>
        <w:spacing w:line="360" w:lineRule="auto" w:before="0" w:after="0"/>
        <w:ind w:firstLine="482"/>
        <w:jc w:val="both"/>
      </w:pPr>
      <w:r>
        <w:rPr>
          <w:rFonts w:ascii="Times New Roman" w:hAnsi="Times New Roman" w:eastAsia="宋体"/>
          <w:b/>
          <w:color w:val="FF0000"/>
          <w:sz w:val="24"/>
        </w:rPr>
        <w:t xml:space="preserve">■ </w:t>
      </w:r>
      <w:r>
        <w:rPr>
          <w:rFonts w:ascii="Times New Roman" w:hAnsi="Times New Roman" w:eastAsia="宋体"/>
          <w:b w:val="0"/>
          <w:color w:val="000000"/>
          <w:sz w:val="24"/>
        </w:rPr>
        <w:t xml:space="preserve">高风险:2 处     </w:t>
      </w:r>
      <w:r>
        <w:rPr>
          <w:rFonts w:ascii="Times New Roman" w:hAnsi="Times New Roman" w:eastAsia="宋体"/>
          <w:b/>
          <w:color w:val="FF9900"/>
          <w:sz w:val="24"/>
        </w:rPr>
        <w:t xml:space="preserve">■ </w:t>
      </w:r>
      <w:r>
        <w:rPr>
          <w:rFonts w:ascii="Times New Roman" w:hAnsi="Times New Roman" w:eastAsia="宋体"/>
          <w:b w:val="0"/>
          <w:color w:val="000000"/>
          <w:sz w:val="24"/>
        </w:rPr>
        <w:t xml:space="preserve">中风险:2 处     </w:t>
      </w:r>
      <w:r>
        <w:rPr>
          <w:rFonts w:ascii="Times New Roman" w:hAnsi="Times New Roman" w:eastAsia="宋体"/>
          <w:b/>
          <w:color w:val="00A650"/>
          <w:sz w:val="24"/>
        </w:rPr>
        <w:t xml:space="preserve">■ </w:t>
      </w:r>
      <w:r>
        <w:rPr>
          <w:rFonts w:ascii="Times New Roman" w:hAnsi="Times New Roman" w:eastAsia="宋体"/>
          <w:b w:val="0"/>
          <w:color w:val="000000"/>
          <w:sz w:val="24"/>
        </w:rPr>
        <w:t>低风险:1 处</w:t>
      </w:r>
    </w:p>
    <w:p>
      <w:pPr>
        <w:spacing w:line="360" w:lineRule="auto" w:before="0" w:after="0"/>
        <w:ind w:firstLine="482"/>
        <w:jc w:val="both"/>
      </w:pPr>
      <w:r>
        <w:rPr>
          <w:rFonts w:ascii="Times New Roman" w:hAnsi="Times New Roman" w:eastAsia="宋体"/>
          <w:b w:val="0"/>
          <w:color w:val="000000"/>
          <w:sz w:val="24"/>
        </w:rPr>
        <w:t>按确认层级分布:</w:t>
      </w:r>
    </w:p>
    <w:p>
      <w:pPr>
        <w:spacing w:line="360" w:lineRule="auto" w:before="0" w:after="0"/>
        <w:ind w:firstLine="482"/>
        <w:jc w:val="both"/>
      </w:pPr>
      <w:r>
        <w:rPr>
          <w:rFonts w:ascii="Times New Roman" w:hAnsi="Times New Roman" w:eastAsia="宋体"/>
          <w:b w:val="0"/>
          <w:color w:val="000000"/>
          <w:sz w:val="24"/>
        </w:rPr>
        <w:t>L1 基础级(AI 可独立确认):1 处</w:t>
      </w:r>
    </w:p>
    <w:p>
      <w:pPr>
        <w:spacing w:line="360" w:lineRule="auto" w:before="0" w:after="0"/>
        <w:ind w:firstLine="482"/>
        <w:jc w:val="both"/>
      </w:pPr>
      <w:r>
        <w:rPr>
          <w:rFonts w:ascii="Times New Roman" w:hAnsi="Times New Roman" w:eastAsia="宋体"/>
          <w:b w:val="0"/>
          <w:color w:val="000000"/>
          <w:sz w:val="24"/>
        </w:rPr>
        <w:t>L2 中级(建议人工复核):2 处</w:t>
      </w:r>
    </w:p>
    <w:p>
      <w:pPr>
        <w:spacing w:line="360" w:lineRule="auto" w:before="0" w:after="0"/>
        <w:ind w:firstLine="482"/>
        <w:jc w:val="both"/>
      </w:pPr>
      <w:r>
        <w:rPr>
          <w:rFonts w:ascii="Times New Roman" w:hAnsi="Times New Roman" w:eastAsia="宋体"/>
          <w:b w:val="0"/>
          <w:color w:val="000000"/>
          <w:sz w:val="24"/>
        </w:rPr>
        <w:t>L3 高级(必须人工复核):2 处</w:t>
      </w:r>
    </w:p>
    <w:p>
      <w:pPr>
        <w:pStyle w:val="Heading2"/>
        <w:spacing w:line="360" w:lineRule="auto" w:before="160" w:after="160"/>
        <w:ind w:firstLine="482"/>
        <w:jc w:val="both"/>
      </w:pPr>
      <w:r>
        <w:rPr>
          <w:rFonts w:ascii="Times New Roman" w:hAnsi="Times New Roman" w:eastAsia="宋体"/>
          <w:b/>
          <w:color w:val="000000"/>
          <w:sz w:val="28"/>
        </w:rPr>
        <w:t>3.3 规则来源分布</w:t>
      </w:r>
    </w:p>
    <w:p>
      <w:pPr>
        <w:spacing w:line="360" w:lineRule="auto" w:before="0" w:after="0"/>
        <w:ind w:firstLine="482"/>
        <w:jc w:val="both"/>
      </w:pPr>
      <w:r>
        <w:rPr>
          <w:rFonts w:ascii="Times New Roman" w:hAnsi="Times New Roman" w:eastAsia="宋体"/>
          <w:b w:val="0"/>
          <w:color w:val="000000"/>
          <w:sz w:val="24"/>
        </w:rPr>
        <w:t>按来源归类,区分:标准清单触发(基于 checklist.md)、Playbook 覆盖(组织立场手册)、清单外发现(AI 扩展判断)。</w:t>
      </w:r>
    </w:p>
    <w:p>
      <w:pPr>
        <w:spacing w:line="360" w:lineRule="auto" w:before="0" w:after="0"/>
        <w:ind w:firstLine="482"/>
        <w:jc w:val="both"/>
      </w:pPr>
      <w:r>
        <w:rPr>
          <w:rFonts w:ascii="Times New Roman" w:hAnsi="Times New Roman" w:eastAsia="宋体"/>
          <w:b w:val="0"/>
          <w:color w:val="000000"/>
          <w:sz w:val="24"/>
        </w:rPr>
        <w:t>标准清单:4 处</w:t>
      </w:r>
    </w:p>
    <w:p>
      <w:pPr>
        <w:spacing w:line="360" w:lineRule="auto" w:before="0" w:after="0"/>
        <w:ind w:firstLine="482"/>
        <w:jc w:val="both"/>
      </w:pPr>
      <w:r>
        <w:rPr>
          <w:rFonts w:ascii="Times New Roman" w:hAnsi="Times New Roman" w:eastAsia="宋体"/>
          <w:b w:val="0"/>
          <w:color w:val="000000"/>
          <w:sz w:val="24"/>
        </w:rPr>
        <w:t>Playbook 覆盖:1 处</w:t>
      </w:r>
    </w:p>
    <w:p>
      <w:pPr>
        <w:spacing w:line="360" w:lineRule="auto" w:before="0" w:after="0"/>
        <w:ind w:firstLine="482"/>
        <w:jc w:val="both"/>
      </w:pPr>
      <w:r>
        <w:rPr>
          <w:rFonts w:ascii="Times New Roman" w:hAnsi="Times New Roman" w:eastAsia="宋体"/>
          <w:b w:val="0"/>
          <w:color w:val="000000"/>
          <w:sz w:val="24"/>
        </w:rPr>
        <w:t>清单外发现:0 处</w:t>
      </w:r>
    </w:p>
    <w:p>
      <w:pPr>
        <w:pStyle w:val="Heading2"/>
        <w:spacing w:line="360" w:lineRule="auto" w:before="160" w:after="160"/>
        <w:ind w:firstLine="482"/>
        <w:jc w:val="both"/>
      </w:pPr>
      <w:r>
        <w:rPr>
          <w:rFonts w:ascii="Times New Roman" w:hAnsi="Times New Roman" w:eastAsia="宋体"/>
          <w:b/>
          <w:color w:val="000000"/>
          <w:sz w:val="28"/>
        </w:rPr>
        <w:t>3.4 风险分布维度图</w:t>
      </w:r>
    </w:p>
    <w:tbl>
      <w:tblPr>
        <w:tblW w:type="auto" w:w="0"/>
        <w:jc w:val="center"/>
        <w:tblLook w:firstColumn="1" w:firstRow="1" w:lastColumn="0" w:lastRow="0" w:noHBand="0" w:noVBand="1" w:val="04A0"/>
      </w:tblPr>
      <w:tblGrid>
        <w:gridCol w:w="2882"/>
        <w:gridCol w:w="2882"/>
        <w:gridCol w:w="2882"/>
      </w:tblGrid>
      <w:tr>
        <w:tc>
          <w:tcPr>
            <w:tcW w:type="dxa" w:w="2835"/>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color w:val="000000"/>
                <w:sz w:val="21"/>
              </w:rPr>
              <w:t>维度</w:t>
            </w:r>
          </w:p>
        </w:tc>
        <w:tc>
          <w:tcPr>
            <w:tcW w:type="dxa" w:w="1417"/>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color w:val="000000"/>
                <w:sz w:val="21"/>
              </w:rPr>
              <w:t>风险项数</w:t>
            </w:r>
          </w:p>
        </w:tc>
        <w:tc>
          <w:tcPr>
            <w:tcW w:type="dxa" w:w="5102"/>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color w:val="000000"/>
                <w:sz w:val="21"/>
              </w:rPr>
              <w:t>涉及清单 ID</w:t>
            </w:r>
          </w:p>
        </w:tc>
      </w:tr>
      <w:tr>
        <w:tc>
          <w:tcPr>
            <w:tcW w:type="dxa" w:w="2835"/>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1"/>
              </w:rPr>
              <w:t>三、价款与支付</w:t>
            </w:r>
          </w:p>
        </w:tc>
        <w:tc>
          <w:tcPr>
            <w:tcW w:type="dxa" w:w="1417"/>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val="0"/>
                <w:color w:val="000000"/>
                <w:sz w:val="21"/>
              </w:rPr>
              <w:t>1</w:t>
            </w:r>
          </w:p>
        </w:tc>
        <w:tc>
          <w:tcPr>
            <w:tcW w:type="dxa" w:w="5102"/>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1"/>
              </w:rPr>
              <w:t>C010</w:t>
            </w:r>
          </w:p>
        </w:tc>
      </w:tr>
      <w:tr>
        <w:tc>
          <w:tcPr>
            <w:tcW w:type="dxa" w:w="2835"/>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60" w:after="60" w:line="276" w:lineRule="auto"/>
              <w:ind w:firstLine="0"/>
            </w:pPr>
            <w:r>
              <w:rPr>
                <w:rFonts w:ascii="Times New Roman" w:hAnsi="Times New Roman" w:eastAsia="宋体"/>
                <w:b w:val="0"/>
                <w:color w:val="000000"/>
                <w:sz w:val="21"/>
              </w:rPr>
              <w:t>五、违约责任</w:t>
            </w:r>
          </w:p>
        </w:tc>
        <w:tc>
          <w:tcPr>
            <w:tcW w:type="dxa" w:w="1417"/>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60" w:after="60" w:line="276" w:lineRule="auto"/>
              <w:ind w:firstLine="0"/>
              <w:jc w:val="center"/>
            </w:pPr>
            <w:r>
              <w:rPr>
                <w:rFonts w:ascii="Times New Roman" w:hAnsi="Times New Roman" w:eastAsia="宋体"/>
                <w:b w:val="0"/>
                <w:color w:val="000000"/>
                <w:sz w:val="21"/>
              </w:rPr>
              <w:t>3</w:t>
            </w:r>
          </w:p>
        </w:tc>
        <w:tc>
          <w:tcPr>
            <w:tcW w:type="dxa" w:w="5102"/>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60" w:after="60" w:line="276" w:lineRule="auto"/>
              <w:ind w:firstLine="0"/>
            </w:pPr>
            <w:r>
              <w:rPr>
                <w:rFonts w:ascii="Times New Roman" w:hAnsi="Times New Roman" w:eastAsia="宋体"/>
                <w:b w:val="0"/>
                <w:color w:val="000000"/>
                <w:sz w:val="21"/>
              </w:rPr>
              <w:t>C025 · C021 · C022</w:t>
            </w:r>
          </w:p>
        </w:tc>
      </w:tr>
      <w:tr>
        <w:tc>
          <w:tcPr>
            <w:tcW w:type="dxa" w:w="2835"/>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1"/>
              </w:rPr>
              <w:t>十一、送达与签署</w:t>
            </w:r>
          </w:p>
        </w:tc>
        <w:tc>
          <w:tcPr>
            <w:tcW w:type="dxa" w:w="1417"/>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val="0"/>
                <w:color w:val="000000"/>
                <w:sz w:val="21"/>
              </w:rPr>
              <w:t>1</w:t>
            </w:r>
          </w:p>
        </w:tc>
        <w:tc>
          <w:tcPr>
            <w:tcW w:type="dxa" w:w="5102"/>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1"/>
              </w:rPr>
              <w:t>C050</w:t>
            </w:r>
          </w:p>
        </w:tc>
      </w:tr>
    </w:tbl>
    <w:p>
      <w:pPr>
        <w:pStyle w:val="Heading1"/>
        <w:spacing w:line="360" w:lineRule="auto" w:before="320" w:after="160"/>
        <w:ind w:firstLine="482"/>
        <w:jc w:val="both"/>
      </w:pPr>
      <w:r>
        <w:rPr>
          <w:rFonts w:ascii="Times New Roman" w:hAnsi="Times New Roman" w:eastAsia="宋体"/>
          <w:b/>
          <w:color w:val="000000"/>
          <w:sz w:val="32"/>
        </w:rPr>
        <w:t>四、逐条审查详情</w:t>
      </w:r>
    </w:p>
    <w:p>
      <w:pPr>
        <w:spacing w:before="320" w:after="80"/>
      </w:pPr>
      <w:r>
        <w:rPr>
          <w:rFonts w:ascii="Times New Roman" w:hAnsi="Times New Roman" w:eastAsia="宋体"/>
          <w:b/>
          <w:color w:val="000000"/>
          <w:sz w:val="28"/>
        </w:rPr>
        <w:t xml:space="preserve">风险 01   </w:t>
      </w:r>
      <w:r>
        <w:rPr>
          <w:rFonts w:ascii="Times New Roman" w:hAnsi="Times New Roman" w:eastAsia="宋体"/>
          <w:b/>
          <w:color w:val="FF0000"/>
          <w:sz w:val="28"/>
        </w:rPr>
        <w:t xml:space="preserve">■ 高风险   </w:t>
      </w:r>
      <w:r>
        <w:rPr>
          <w:rFonts w:ascii="Times New Roman" w:hAnsi="Times New Roman" w:eastAsia="宋体"/>
          <w:b/>
          <w:color w:val="000000"/>
          <w:sz w:val="28"/>
        </w:rPr>
        <w:t xml:space="preserve">[精准审查]   </w:t>
      </w:r>
      <w:r>
        <w:rPr>
          <w:rFonts w:ascii="Times New Roman" w:hAnsi="Times New Roman" w:eastAsia="宋体"/>
          <w:b/>
          <w:color w:val="000000"/>
          <w:sz w:val="28"/>
        </w:rPr>
        <w:t>乙方承担无限连带责任且无限制</w:t>
      </w:r>
    </w:p>
    <w:p>
      <w:pPr>
        <w:spacing w:line="360" w:lineRule="auto" w:before="0" w:after="0"/>
        <w:jc w:val="both"/>
      </w:pPr>
      <w:r>
        <w:rPr>
          <w:rFonts w:ascii="Times New Roman" w:hAnsi="Times New Roman" w:eastAsia="宋体"/>
          <w:b w:val="0"/>
          <w:color w:val="000000"/>
          <w:sz w:val="24"/>
        </w:rPr>
        <w:t>条款位置:第 12.2 条  ·  对应清单:C025  ·  确认层级:L3  ·  规则来源:标准清单  ·  谈判优先级:Tier 1</w:t>
      </w:r>
    </w:p>
    <w:p>
      <w:pPr>
        <w:spacing w:line="360" w:lineRule="auto" w:before="0" w:after="0"/>
        <w:jc w:val="both"/>
      </w:pPr>
      <w:r>
        <w:rPr>
          <w:rFonts w:ascii="Times New Roman" w:hAnsi="Times New Roman" w:eastAsia="宋体"/>
          <w:b/>
          <w:color w:val="000000"/>
          <w:sz w:val="24"/>
        </w:rPr>
        <w:t>触发标准:</w:t>
      </w:r>
      <w:r>
        <w:rPr>
          <w:rFonts w:ascii="Times New Roman" w:hAnsi="Times New Roman" w:eastAsia="宋体"/>
          <w:b w:val="0"/>
          <w:color w:val="000000"/>
          <w:sz w:val="24"/>
        </w:rPr>
        <w:t>存在无限连带责任且无合理限制 = ■ 高风险</w:t>
      </w:r>
    </w:p>
    <w:p>
      <w:pPr>
        <w:spacing w:line="360" w:lineRule="auto" w:before="0" w:after="0"/>
        <w:jc w:val="both"/>
      </w:pPr>
      <w:r>
        <w:rPr>
          <w:rFonts w:ascii="Times New Roman" w:hAnsi="Times New Roman" w:eastAsia="宋体"/>
          <w:b/>
          <w:color w:val="000000"/>
          <w:sz w:val="24"/>
        </w:rPr>
        <w:t>立场判断:</w:t>
      </w:r>
      <w:r>
        <w:rPr>
          <w:rFonts w:ascii="Times New Roman" w:hAnsi="Times New Roman" w:eastAsia="宋体"/>
          <w:b w:val="0"/>
          <w:color w:val="000000"/>
          <w:sz w:val="24"/>
        </w:rPr>
        <w:t>乙方立场:必须限制或排除连带责任;甲方立场:作为债权方可能乐于保留</w:t>
      </w:r>
    </w:p>
    <w:p>
      <w:pPr>
        <w:spacing w:after="0"/>
      </w:pPr>
    </w:p>
    <w:tbl>
      <w:tblPr>
        <w:tblW w:type="auto" w:w="0"/>
        <w:jc w:val="center"/>
        <w:tblLook w:firstColumn="1" w:firstRow="1" w:lastColumn="0" w:lastRow="0" w:noHBand="0" w:noVBand="1" w:val="04A0"/>
      </w:tblPr>
      <w:tblGrid>
        <w:gridCol w:w="4323"/>
        <w:gridCol w:w="4323"/>
      </w:tblGrid>
      <w:tr>
        <w:tc>
          <w:tcPr>
            <w:tcW w:type="dxa" w:w="4252"/>
            <w:shd w:val="clear" w:color="auto" w:fill="F1F5F9"/>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center"/>
            </w:pPr>
            <w:r>
              <w:rPr>
                <w:rFonts w:ascii="Times New Roman" w:hAnsi="Times New Roman" w:eastAsia="宋体"/>
                <w:b/>
                <w:color w:val="000000"/>
                <w:sz w:val="24"/>
              </w:rPr>
              <w:t>条款原文</w:t>
            </w:r>
          </w:p>
        </w:tc>
        <w:tc>
          <w:tcPr>
            <w:tcW w:type="dxa" w:w="4252"/>
            <w:shd w:val="clear" w:color="auto" w:fill="F1F5F9"/>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center"/>
            </w:pPr>
            <w:r>
              <w:rPr>
                <w:rFonts w:ascii="Times New Roman" w:hAnsi="Times New Roman" w:eastAsia="宋体"/>
                <w:b/>
                <w:color w:val="000000"/>
                <w:sz w:val="24"/>
              </w:rPr>
              <w:t>修改建议</w:t>
            </w:r>
          </w:p>
        </w:tc>
      </w:tr>
      <w:tr>
        <w:tc>
          <w:tcPr>
            <w:tcW w:type="dxa" w:w="4252"/>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left"/>
            </w:pPr>
            <w:r>
              <w:rPr>
                <w:rFonts w:ascii="Times New Roman" w:hAnsi="Times New Roman" w:eastAsia="宋体"/>
                <w:b w:val="0"/>
                <w:color w:val="000000"/>
                <w:sz w:val="24"/>
              </w:rPr>
              <w:t>乙方应就本合同项下任何违约行为向甲方承担无限连带责任，该责任不受本合同其他条款关于责任上限的约定限制。</w:t>
            </w:r>
          </w:p>
        </w:tc>
        <w:tc>
          <w:tcPr>
            <w:tcW w:type="dxa" w:w="4252"/>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left"/>
            </w:pPr>
            <w:r>
              <w:rPr>
                <w:rFonts w:ascii="Times New Roman" w:hAnsi="Times New Roman" w:eastAsia="宋体"/>
                <w:b w:val="0"/>
                <w:color w:val="000000"/>
                <w:sz w:val="24"/>
              </w:rPr>
              <w:t>乙方应就本合同项下</w:t>
            </w:r>
            <w:r>
              <w:rPr>
                <w:rFonts w:ascii="Times New Roman" w:hAnsi="Times New Roman" w:eastAsia="宋体"/>
                <w:b w:val="0"/>
                <w:color w:val="EE0000"/>
                <w:sz w:val="24"/>
              </w:rPr>
              <w:t>因其过错违反本合同导致甲方损失的行为</w:t>
            </w:r>
            <w:r>
              <w:rPr>
                <w:rFonts w:ascii="Times New Roman" w:hAnsi="Times New Roman" w:eastAsia="宋体"/>
                <w:b w:val="0"/>
                <w:color w:val="000000"/>
                <w:sz w:val="24"/>
              </w:rPr>
              <w:t>承担赔偿责任。</w:t>
            </w:r>
            <w:r>
              <w:rPr>
                <w:rFonts w:ascii="Times New Roman" w:hAnsi="Times New Roman" w:eastAsia="宋体"/>
                <w:b w:val="0"/>
                <w:color w:val="EE0000"/>
                <w:sz w:val="24"/>
              </w:rPr>
              <w:t>除故意或重大过失外，乙方的赔偿责任总额以本合同总金额为上限</w:t>
            </w:r>
            <w:r>
              <w:rPr>
                <w:rFonts w:ascii="Times New Roman" w:hAnsi="Times New Roman" w:eastAsia="宋体"/>
                <w:b w:val="0"/>
                <w:color w:val="000000"/>
                <w:sz w:val="24"/>
              </w:rPr>
              <w:t>。</w:t>
            </w:r>
          </w:p>
        </w:tc>
      </w:tr>
      <w:tr>
        <w:tc>
          <w:tcPr>
            <w:tcW w:type="dxa" w:w="8504"/>
            <w:gridSpan w:val="2"/>
            <w:shd w:val="clear" w:color="auto" w:fill="F1F5F9"/>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center"/>
            </w:pPr>
            <w:r>
              <w:rPr>
                <w:rFonts w:ascii="Times New Roman" w:hAnsi="Times New Roman" w:eastAsia="宋体"/>
                <w:b/>
                <w:color w:val="000000"/>
                <w:sz w:val="24"/>
              </w:rPr>
              <w:t>修改理由</w:t>
            </w:r>
          </w:p>
        </w:tc>
      </w:tr>
      <w:tr>
        <w:tc>
          <w:tcPr>
            <w:tcW w:type="dxa" w:w="8504"/>
            <w:gridSpan w:val="2"/>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left"/>
            </w:pPr>
            <w:r>
              <w:rPr>
                <w:rFonts w:ascii="Times New Roman" w:hAnsi="Times New Roman" w:eastAsia="宋体"/>
                <w:b w:val="0"/>
                <w:color w:val="000000"/>
                <w:sz w:val="24"/>
              </w:rPr>
              <w:t>无限连带责任条款会使乙方承担远超交易规模的赔偿风险,理论上可能引发乙方破产。根据民法典第 687 条,连带保证需明确保证范围和期限,无上限无期限的约定在实务中常被法院部分否认。</w:t>
            </w:r>
          </w:p>
        </w:tc>
      </w:tr>
    </w:tbl>
    <w:p>
      <w:pPr>
        <w:spacing w:line="360" w:lineRule="auto" w:before="80" w:after="0"/>
        <w:jc w:val="both"/>
      </w:pPr>
      <w:r>
        <w:rPr>
          <w:rFonts w:ascii="Times New Roman" w:hAnsi="Times New Roman" w:eastAsia="宋体"/>
          <w:b/>
          <w:color w:val="000000"/>
          <w:sz w:val="24"/>
        </w:rPr>
        <w:t>相关法条:</w:t>
      </w:r>
      <w:r>
        <w:rPr>
          <w:rFonts w:ascii="Times New Roman" w:hAnsi="Times New Roman" w:eastAsia="宋体"/>
          <w:b w:val="0"/>
          <w:color w:val="000000"/>
          <w:sz w:val="24"/>
        </w:rPr>
        <w:t>《中华人民共和国民法典》第 687 条、第 692 条</w:t>
      </w:r>
    </w:p>
    <w:p>
      <w:pPr>
        <w:spacing w:before="160" w:after="0"/>
      </w:pPr>
    </w:p>
    <w:tbl>
      <w:tblPr>
        <w:tblW w:type="auto" w:w="0"/>
        <w:jc w:val="center"/>
        <w:tblLook w:firstColumn="1" w:firstRow="1" w:lastColumn="0" w:lastRow="0" w:noHBand="0" w:noVBand="1" w:val="04A0"/>
      </w:tblPr>
      <w:tblGrid>
        <w:gridCol w:w="8646"/>
      </w:tblGrid>
      <w:tr>
        <w:tc>
          <w:tcPr>
            <w:tcW w:type="dxa" w:w="9071"/>
            <w:tcBorders>
              <w:top w:val="none" w:sz="0"/>
              <w:left w:val="none" w:sz="0"/>
              <w:right w:val="none" w:sz="0"/>
              <w:bottom w:val="single" w:sz="6" w:space="0" w:color="E0E0E0"/>
            </w:tcBorders>
          </w:tcPr>
          <w:p>
            <w:r/>
          </w:p>
        </w:tc>
      </w:tr>
    </w:tbl>
    <w:p>
      <w:pPr>
        <w:spacing w:before="320" w:after="80"/>
      </w:pPr>
      <w:r>
        <w:rPr>
          <w:rFonts w:ascii="Times New Roman" w:hAnsi="Times New Roman" w:eastAsia="宋体"/>
          <w:b/>
          <w:color w:val="000000"/>
          <w:sz w:val="28"/>
        </w:rPr>
        <w:t xml:space="preserve">风险 02   </w:t>
      </w:r>
      <w:r>
        <w:rPr>
          <w:rFonts w:ascii="Times New Roman" w:hAnsi="Times New Roman" w:eastAsia="宋体"/>
          <w:b/>
          <w:color w:val="FF0000"/>
          <w:sz w:val="28"/>
        </w:rPr>
        <w:t xml:space="preserve">■ 高风险   </w:t>
      </w:r>
      <w:r>
        <w:rPr>
          <w:rFonts w:ascii="Times New Roman" w:hAnsi="Times New Roman" w:eastAsia="宋体"/>
          <w:b/>
          <w:color w:val="000000"/>
          <w:sz w:val="28"/>
        </w:rPr>
        <w:t>大小写金额不一致</w:t>
      </w:r>
    </w:p>
    <w:p>
      <w:pPr>
        <w:spacing w:line="360" w:lineRule="auto" w:before="0" w:after="0"/>
        <w:jc w:val="both"/>
      </w:pPr>
      <w:r>
        <w:rPr>
          <w:rFonts w:ascii="Times New Roman" w:hAnsi="Times New Roman" w:eastAsia="宋体"/>
          <w:b w:val="0"/>
          <w:color w:val="000000"/>
          <w:sz w:val="24"/>
        </w:rPr>
        <w:t>条款位置:第 3.1 条  ·  对应清单:C010  ·  确认层级:L1  ·  规则来源:标准清单  ·  谈判优先级:Tier 1</w:t>
      </w:r>
    </w:p>
    <w:p>
      <w:pPr>
        <w:spacing w:line="360" w:lineRule="auto" w:before="0" w:after="0"/>
        <w:jc w:val="both"/>
      </w:pPr>
      <w:r>
        <w:rPr>
          <w:rFonts w:ascii="Times New Roman" w:hAnsi="Times New Roman" w:eastAsia="宋体"/>
          <w:b/>
          <w:color w:val="000000"/>
          <w:sz w:val="24"/>
        </w:rPr>
        <w:t>触发标准:</w:t>
      </w:r>
      <w:r>
        <w:rPr>
          <w:rFonts w:ascii="Times New Roman" w:hAnsi="Times New Roman" w:eastAsia="宋体"/>
          <w:b w:val="0"/>
          <w:color w:val="000000"/>
          <w:sz w:val="24"/>
        </w:rPr>
        <w:t>大小写金额不一致 = ■ 高风险(民法典第 498 条)</w:t>
      </w:r>
    </w:p>
    <w:p>
      <w:pPr>
        <w:spacing w:after="0"/>
      </w:pPr>
    </w:p>
    <w:tbl>
      <w:tblPr>
        <w:tblW w:type="auto" w:w="0"/>
        <w:jc w:val="center"/>
        <w:tblLook w:firstColumn="1" w:firstRow="1" w:lastColumn="0" w:lastRow="0" w:noHBand="0" w:noVBand="1" w:val="04A0"/>
      </w:tblPr>
      <w:tblGrid>
        <w:gridCol w:w="4323"/>
        <w:gridCol w:w="4323"/>
      </w:tblGrid>
      <w:tr>
        <w:tc>
          <w:tcPr>
            <w:tcW w:type="dxa" w:w="4252"/>
            <w:shd w:val="clear" w:color="auto" w:fill="F1F5F9"/>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center"/>
            </w:pPr>
            <w:r>
              <w:rPr>
                <w:rFonts w:ascii="Times New Roman" w:hAnsi="Times New Roman" w:eastAsia="宋体"/>
                <w:b/>
                <w:color w:val="000000"/>
                <w:sz w:val="24"/>
              </w:rPr>
              <w:t>条款原文</w:t>
            </w:r>
          </w:p>
        </w:tc>
        <w:tc>
          <w:tcPr>
            <w:tcW w:type="dxa" w:w="4252"/>
            <w:shd w:val="clear" w:color="auto" w:fill="F1F5F9"/>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center"/>
            </w:pPr>
            <w:r>
              <w:rPr>
                <w:rFonts w:ascii="Times New Roman" w:hAnsi="Times New Roman" w:eastAsia="宋体"/>
                <w:b/>
                <w:color w:val="000000"/>
                <w:sz w:val="24"/>
              </w:rPr>
              <w:t>修改建议</w:t>
            </w:r>
          </w:p>
        </w:tc>
      </w:tr>
      <w:tr>
        <w:tc>
          <w:tcPr>
            <w:tcW w:type="dxa" w:w="4252"/>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left"/>
            </w:pPr>
            <w:r>
              <w:rPr>
                <w:rFonts w:ascii="Times New Roman" w:hAnsi="Times New Roman" w:eastAsia="宋体"/>
                <w:b w:val="0"/>
                <w:color w:val="000000"/>
                <w:sz w:val="24"/>
              </w:rPr>
              <w:t>本合同总金额为人民币 860,000 元（大写:柒拾陆万元整），含 13% 增值税。</w:t>
            </w:r>
          </w:p>
        </w:tc>
        <w:tc>
          <w:tcPr>
            <w:tcW w:type="dxa" w:w="4252"/>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left"/>
            </w:pPr>
            <w:r>
              <w:rPr>
                <w:rFonts w:ascii="Times New Roman" w:hAnsi="Times New Roman" w:eastAsia="宋体"/>
                <w:b w:val="0"/>
                <w:color w:val="000000"/>
                <w:sz w:val="24"/>
              </w:rPr>
              <w:t>人民币 860,000.00 元（大写:</w:t>
            </w:r>
            <w:r>
              <w:rPr>
                <w:rFonts w:ascii="Times New Roman" w:hAnsi="Times New Roman" w:eastAsia="宋体"/>
                <w:b w:val="0"/>
                <w:color w:val="EE0000"/>
                <w:sz w:val="24"/>
              </w:rPr>
              <w:t>捌拾陆万元整</w:t>
            </w:r>
            <w:r>
              <w:rPr>
                <w:rFonts w:ascii="Times New Roman" w:hAnsi="Times New Roman" w:eastAsia="宋体"/>
                <w:b w:val="0"/>
                <w:color w:val="000000"/>
                <w:sz w:val="24"/>
              </w:rPr>
              <w:t>）</w:t>
            </w:r>
          </w:p>
        </w:tc>
      </w:tr>
      <w:tr>
        <w:tc>
          <w:tcPr>
            <w:tcW w:type="dxa" w:w="8504"/>
            <w:gridSpan w:val="2"/>
            <w:shd w:val="clear" w:color="auto" w:fill="F1F5F9"/>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center"/>
            </w:pPr>
            <w:r>
              <w:rPr>
                <w:rFonts w:ascii="Times New Roman" w:hAnsi="Times New Roman" w:eastAsia="宋体"/>
                <w:b/>
                <w:color w:val="000000"/>
                <w:sz w:val="24"/>
              </w:rPr>
              <w:t>修改理由</w:t>
            </w:r>
          </w:p>
        </w:tc>
      </w:tr>
      <w:tr>
        <w:tc>
          <w:tcPr>
            <w:tcW w:type="dxa" w:w="8504"/>
            <w:gridSpan w:val="2"/>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left"/>
            </w:pPr>
            <w:r>
              <w:rPr>
                <w:rFonts w:ascii="Times New Roman" w:hAnsi="Times New Roman" w:eastAsia="宋体"/>
                <w:b w:val="0"/>
                <w:color w:val="000000"/>
                <w:sz w:val="24"/>
              </w:rPr>
              <w:t>小写 860,000 与大写「柒拾陆万」(760,000)不一致,依据民法典第 498 条对格式条款的解释规则,争议发生时可能产生实质性分歧。</w:t>
            </w:r>
          </w:p>
        </w:tc>
      </w:tr>
    </w:tbl>
    <w:p>
      <w:pPr>
        <w:spacing w:line="360" w:lineRule="auto" w:before="80" w:after="0"/>
        <w:jc w:val="both"/>
      </w:pPr>
      <w:r>
        <w:rPr>
          <w:rFonts w:ascii="Times New Roman" w:hAnsi="Times New Roman" w:eastAsia="宋体"/>
          <w:b/>
          <w:color w:val="000000"/>
          <w:sz w:val="24"/>
        </w:rPr>
        <w:t>相关法条:</w:t>
      </w:r>
      <w:r>
        <w:rPr>
          <w:rFonts w:ascii="Times New Roman" w:hAnsi="Times New Roman" w:eastAsia="宋体"/>
          <w:b w:val="0"/>
          <w:color w:val="000000"/>
          <w:sz w:val="24"/>
        </w:rPr>
        <w:t>《中华人民共和国民法典》第 498 条</w:t>
      </w:r>
    </w:p>
    <w:p>
      <w:pPr>
        <w:spacing w:before="160" w:after="0"/>
      </w:pPr>
    </w:p>
    <w:tbl>
      <w:tblPr>
        <w:tblW w:type="auto" w:w="0"/>
        <w:jc w:val="center"/>
        <w:tblLook w:firstColumn="1" w:firstRow="1" w:lastColumn="0" w:lastRow="0" w:noHBand="0" w:noVBand="1" w:val="04A0"/>
      </w:tblPr>
      <w:tblGrid>
        <w:gridCol w:w="8646"/>
      </w:tblGrid>
      <w:tr>
        <w:tc>
          <w:tcPr>
            <w:tcW w:type="dxa" w:w="9071"/>
            <w:tcBorders>
              <w:top w:val="none" w:sz="0"/>
              <w:left w:val="none" w:sz="0"/>
              <w:right w:val="none" w:sz="0"/>
              <w:bottom w:val="single" w:sz="6" w:space="0" w:color="E0E0E0"/>
            </w:tcBorders>
          </w:tcPr>
          <w:p>
            <w:r/>
          </w:p>
        </w:tc>
      </w:tr>
    </w:tbl>
    <w:p>
      <w:pPr>
        <w:spacing w:before="320" w:after="80"/>
      </w:pPr>
      <w:r>
        <w:rPr>
          <w:rFonts w:ascii="Times New Roman" w:hAnsi="Times New Roman" w:eastAsia="宋体"/>
          <w:b/>
          <w:color w:val="000000"/>
          <w:sz w:val="28"/>
        </w:rPr>
        <w:t xml:space="preserve">风险 03   </w:t>
      </w:r>
      <w:r>
        <w:rPr>
          <w:rFonts w:ascii="Times New Roman" w:hAnsi="Times New Roman" w:eastAsia="宋体"/>
          <w:b/>
          <w:color w:val="FF9900"/>
          <w:sz w:val="28"/>
        </w:rPr>
        <w:t xml:space="preserve">■ 中风险   </w:t>
      </w:r>
      <w:r>
        <w:rPr>
          <w:rFonts w:ascii="Times New Roman" w:hAnsi="Times New Roman" w:eastAsia="宋体"/>
          <w:b/>
          <w:color w:val="000000"/>
          <w:sz w:val="28"/>
        </w:rPr>
        <w:t xml:space="preserve">[精准审查]   </w:t>
      </w:r>
      <w:r>
        <w:rPr>
          <w:rFonts w:ascii="Times New Roman" w:hAnsi="Times New Roman" w:eastAsia="宋体"/>
          <w:b/>
          <w:color w:val="000000"/>
          <w:sz w:val="28"/>
        </w:rPr>
        <w:t>违约金比例超过合同金额 30%</w:t>
      </w:r>
    </w:p>
    <w:p>
      <w:pPr>
        <w:spacing w:line="360" w:lineRule="auto" w:before="0" w:after="0"/>
        <w:jc w:val="both"/>
      </w:pPr>
      <w:r>
        <w:rPr>
          <w:rFonts w:ascii="Times New Roman" w:hAnsi="Times New Roman" w:eastAsia="宋体"/>
          <w:b w:val="0"/>
          <w:color w:val="000000"/>
          <w:sz w:val="24"/>
        </w:rPr>
        <w:t>条款位置:第 8.1 条  ·  对应清单:C021  ·  确认层级:L3  ·  规则来源:标准清单  ·  谈判优先级:Tier 2</w:t>
      </w:r>
    </w:p>
    <w:p>
      <w:pPr>
        <w:spacing w:line="360" w:lineRule="auto" w:before="0" w:after="0"/>
        <w:jc w:val="both"/>
      </w:pPr>
      <w:r>
        <w:rPr>
          <w:rFonts w:ascii="Times New Roman" w:hAnsi="Times New Roman" w:eastAsia="宋体"/>
          <w:b/>
          <w:color w:val="000000"/>
          <w:sz w:val="24"/>
        </w:rPr>
        <w:t>触发标准:</w:t>
      </w:r>
      <w:r>
        <w:rPr>
          <w:rFonts w:ascii="Times New Roman" w:hAnsi="Times New Roman" w:eastAsia="宋体"/>
          <w:b w:val="0"/>
          <w:color w:val="000000"/>
          <w:sz w:val="24"/>
        </w:rPr>
        <w:t>违约金超过合同总金额 30% = ■ 高风险;在 20%-30% 区间 = ■ 中风险</w:t>
      </w:r>
    </w:p>
    <w:p>
      <w:pPr>
        <w:spacing w:line="360" w:lineRule="auto" w:before="0" w:after="0"/>
        <w:jc w:val="both"/>
      </w:pPr>
      <w:r>
        <w:rPr>
          <w:rFonts w:ascii="Times New Roman" w:hAnsi="Times New Roman" w:eastAsia="宋体"/>
          <w:b/>
          <w:color w:val="000000"/>
          <w:sz w:val="24"/>
        </w:rPr>
        <w:t>立场判断:</w:t>
      </w:r>
      <w:r>
        <w:rPr>
          <w:rFonts w:ascii="Times New Roman" w:hAnsi="Times New Roman" w:eastAsia="宋体"/>
          <w:b w:val="0"/>
          <w:color w:val="000000"/>
          <w:sz w:val="24"/>
        </w:rPr>
        <w:t>甲方立场:乙方违约金过低为风险;乙方立场:我方违约金过高为风险</w:t>
      </w:r>
    </w:p>
    <w:p>
      <w:pPr>
        <w:spacing w:after="0"/>
      </w:pPr>
    </w:p>
    <w:tbl>
      <w:tblPr>
        <w:tblW w:type="auto" w:w="0"/>
        <w:jc w:val="center"/>
        <w:tblLook w:firstColumn="1" w:firstRow="1" w:lastColumn="0" w:lastRow="0" w:noHBand="0" w:noVBand="1" w:val="04A0"/>
      </w:tblPr>
      <w:tblGrid>
        <w:gridCol w:w="4323"/>
        <w:gridCol w:w="4323"/>
      </w:tblGrid>
      <w:tr>
        <w:tc>
          <w:tcPr>
            <w:tcW w:type="dxa" w:w="4252"/>
            <w:shd w:val="clear" w:color="auto" w:fill="F1F5F9"/>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center"/>
            </w:pPr>
            <w:r>
              <w:rPr>
                <w:rFonts w:ascii="Times New Roman" w:hAnsi="Times New Roman" w:eastAsia="宋体"/>
                <w:b/>
                <w:color w:val="000000"/>
                <w:sz w:val="24"/>
              </w:rPr>
              <w:t>条款原文</w:t>
            </w:r>
          </w:p>
        </w:tc>
        <w:tc>
          <w:tcPr>
            <w:tcW w:type="dxa" w:w="4252"/>
            <w:shd w:val="clear" w:color="auto" w:fill="F1F5F9"/>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center"/>
            </w:pPr>
            <w:r>
              <w:rPr>
                <w:rFonts w:ascii="Times New Roman" w:hAnsi="Times New Roman" w:eastAsia="宋体"/>
                <w:b/>
                <w:color w:val="000000"/>
                <w:sz w:val="24"/>
              </w:rPr>
              <w:t>修改建议</w:t>
            </w:r>
          </w:p>
        </w:tc>
      </w:tr>
      <w:tr>
        <w:tc>
          <w:tcPr>
            <w:tcW w:type="dxa" w:w="4252"/>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left"/>
            </w:pPr>
            <w:r>
              <w:rPr>
                <w:rFonts w:ascii="Times New Roman" w:hAnsi="Times New Roman" w:eastAsia="宋体"/>
                <w:b w:val="0"/>
                <w:color w:val="000000"/>
                <w:sz w:val="24"/>
              </w:rPr>
              <w:t>任何一方违反本合同约定的，违约方应当向守约方支付本合同总金额 35% 的违约金。</w:t>
            </w:r>
          </w:p>
        </w:tc>
        <w:tc>
          <w:tcPr>
            <w:tcW w:type="dxa" w:w="4252"/>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left"/>
            </w:pPr>
            <w:r>
              <w:rPr>
                <w:rFonts w:ascii="Times New Roman" w:hAnsi="Times New Roman" w:eastAsia="宋体"/>
                <w:b w:val="0"/>
                <w:color w:val="000000"/>
                <w:sz w:val="24"/>
              </w:rPr>
              <w:t xml:space="preserve">违约方应当向守约方支付本合同总金额 </w:t>
            </w:r>
            <w:r>
              <w:rPr>
                <w:rFonts w:ascii="Times New Roman" w:hAnsi="Times New Roman" w:eastAsia="宋体"/>
                <w:b w:val="0"/>
                <w:color w:val="EE0000"/>
                <w:sz w:val="24"/>
              </w:rPr>
              <w:t>15%</w:t>
            </w:r>
            <w:r>
              <w:rPr>
                <w:rFonts w:ascii="Times New Roman" w:hAnsi="Times New Roman" w:eastAsia="宋体"/>
                <w:b w:val="0"/>
                <w:color w:val="000000"/>
                <w:sz w:val="24"/>
              </w:rPr>
              <w:t xml:space="preserve"> 的违约金</w:t>
            </w:r>
          </w:p>
        </w:tc>
      </w:tr>
      <w:tr>
        <w:tc>
          <w:tcPr>
            <w:tcW w:type="dxa" w:w="8504"/>
            <w:gridSpan w:val="2"/>
            <w:shd w:val="clear" w:color="auto" w:fill="F1F5F9"/>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center"/>
            </w:pPr>
            <w:r>
              <w:rPr>
                <w:rFonts w:ascii="Times New Roman" w:hAnsi="Times New Roman" w:eastAsia="宋体"/>
                <w:b/>
                <w:color w:val="000000"/>
                <w:sz w:val="24"/>
              </w:rPr>
              <w:t>修改理由</w:t>
            </w:r>
          </w:p>
        </w:tc>
      </w:tr>
      <w:tr>
        <w:tc>
          <w:tcPr>
            <w:tcW w:type="dxa" w:w="8504"/>
            <w:gridSpan w:val="2"/>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left"/>
            </w:pPr>
            <w:r>
              <w:rPr>
                <w:rFonts w:ascii="Times New Roman" w:hAnsi="Times New Roman" w:eastAsia="宋体"/>
                <w:b w:val="0"/>
                <w:color w:val="000000"/>
                <w:sz w:val="24"/>
              </w:rPr>
              <w:t>违约金 35% 接近民法典第 585 条规定的"过分高于造成的损失"标准，在争议发生时法院可能依当事人请求进行酌减。实务中违约金超过 30% 的约定常被部分否认。注:本合同第 8.2 条已约定实际损失超出部分可继续索赔，故修改建议仅调整比例，不重复添加兜底条款。</w:t>
            </w:r>
          </w:p>
        </w:tc>
      </w:tr>
    </w:tbl>
    <w:p>
      <w:pPr>
        <w:spacing w:line="360" w:lineRule="auto" w:before="80" w:after="0"/>
        <w:jc w:val="both"/>
      </w:pPr>
      <w:r>
        <w:rPr>
          <w:rFonts w:ascii="Times New Roman" w:hAnsi="Times New Roman" w:eastAsia="宋体"/>
          <w:b/>
          <w:color w:val="000000"/>
          <w:sz w:val="24"/>
        </w:rPr>
        <w:t>相关法条:</w:t>
      </w:r>
      <w:r>
        <w:rPr>
          <w:rFonts w:ascii="Times New Roman" w:hAnsi="Times New Roman" w:eastAsia="宋体"/>
          <w:b w:val="0"/>
          <w:color w:val="000000"/>
          <w:sz w:val="24"/>
        </w:rPr>
        <w:t>《中华人民共和国民法典》第 585 条</w:t>
      </w:r>
    </w:p>
    <w:p>
      <w:pPr>
        <w:spacing w:before="160" w:after="0"/>
      </w:pPr>
    </w:p>
    <w:tbl>
      <w:tblPr>
        <w:tblW w:type="auto" w:w="0"/>
        <w:jc w:val="center"/>
        <w:tblLook w:firstColumn="1" w:firstRow="1" w:lastColumn="0" w:lastRow="0" w:noHBand="0" w:noVBand="1" w:val="04A0"/>
      </w:tblPr>
      <w:tblGrid>
        <w:gridCol w:w="8646"/>
      </w:tblGrid>
      <w:tr>
        <w:tc>
          <w:tcPr>
            <w:tcW w:type="dxa" w:w="9071"/>
            <w:tcBorders>
              <w:top w:val="none" w:sz="0"/>
              <w:left w:val="none" w:sz="0"/>
              <w:right w:val="none" w:sz="0"/>
              <w:bottom w:val="single" w:sz="6" w:space="0" w:color="E0E0E0"/>
            </w:tcBorders>
          </w:tcPr>
          <w:p>
            <w:r/>
          </w:p>
        </w:tc>
      </w:tr>
    </w:tbl>
    <w:p>
      <w:pPr>
        <w:spacing w:before="320" w:after="80"/>
      </w:pPr>
      <w:r>
        <w:rPr>
          <w:rFonts w:ascii="Times New Roman" w:hAnsi="Times New Roman" w:eastAsia="宋体"/>
          <w:b/>
          <w:color w:val="000000"/>
          <w:sz w:val="28"/>
        </w:rPr>
        <w:t xml:space="preserve">风险 04   </w:t>
      </w:r>
      <w:r>
        <w:rPr>
          <w:rFonts w:ascii="Times New Roman" w:hAnsi="Times New Roman" w:eastAsia="宋体"/>
          <w:b/>
          <w:color w:val="FF9900"/>
          <w:sz w:val="28"/>
        </w:rPr>
        <w:t xml:space="preserve">■ 中风险   </w:t>
      </w:r>
      <w:r>
        <w:rPr>
          <w:rFonts w:ascii="Times New Roman" w:hAnsi="Times New Roman" w:eastAsia="宋体"/>
          <w:b/>
          <w:color w:val="000000"/>
          <w:sz w:val="28"/>
        </w:rPr>
        <w:t>双方逾期违约金标准差异达 4 倍且日率畸高</w:t>
      </w:r>
    </w:p>
    <w:p>
      <w:pPr>
        <w:spacing w:line="360" w:lineRule="auto" w:before="0" w:after="0"/>
        <w:jc w:val="both"/>
      </w:pPr>
      <w:r>
        <w:rPr>
          <w:rFonts w:ascii="Times New Roman" w:hAnsi="Times New Roman" w:eastAsia="宋体"/>
          <w:b w:val="0"/>
          <w:color w:val="000000"/>
          <w:sz w:val="24"/>
        </w:rPr>
        <w:t>条款位置:第 8.3 条  ·  对应清单:C022  ·  确认层级:L2  ·  规则来源:Playbook 覆盖  ·  谈判优先级:Tier 2</w:t>
      </w:r>
    </w:p>
    <w:p>
      <w:pPr>
        <w:spacing w:line="360" w:lineRule="auto" w:before="0" w:after="0"/>
        <w:jc w:val="both"/>
      </w:pPr>
      <w:r>
        <w:rPr>
          <w:rFonts w:ascii="Times New Roman" w:hAnsi="Times New Roman" w:eastAsia="宋体"/>
          <w:b/>
          <w:color w:val="000000"/>
          <w:sz w:val="24"/>
        </w:rPr>
        <w:t>触发标准:</w:t>
      </w:r>
      <w:r>
        <w:rPr>
          <w:rFonts w:ascii="Times New Roman" w:hAnsi="Times New Roman" w:eastAsia="宋体"/>
          <w:b w:val="0"/>
          <w:color w:val="000000"/>
          <w:sz w:val="24"/>
        </w:rPr>
        <w:t>双方违约金比例差异超过 2 倍 = ■ 中风险</w:t>
      </w:r>
    </w:p>
    <w:p>
      <w:pPr>
        <w:spacing w:line="360" w:lineRule="auto" w:before="0" w:after="0"/>
        <w:jc w:val="both"/>
      </w:pPr>
      <w:r>
        <w:rPr>
          <w:rFonts w:ascii="Times New Roman" w:hAnsi="Times New Roman" w:eastAsia="宋体"/>
          <w:b/>
          <w:color w:val="000000"/>
          <w:sz w:val="24"/>
        </w:rPr>
        <w:t>立场判断:</w:t>
      </w:r>
      <w:r>
        <w:rPr>
          <w:rFonts w:ascii="Times New Roman" w:hAnsi="Times New Roman" w:eastAsia="宋体"/>
          <w:b w:val="0"/>
          <w:color w:val="000000"/>
          <w:sz w:val="24"/>
        </w:rPr>
        <w:t>甲方立场:作为更有利一方,对方违约金过低为风险;乙方立场:显著不对等</w:t>
      </w:r>
    </w:p>
    <w:p>
      <w:pPr>
        <w:spacing w:after="0"/>
      </w:pPr>
    </w:p>
    <w:tbl>
      <w:tblPr>
        <w:tblW w:type="auto" w:w="0"/>
        <w:jc w:val="center"/>
        <w:tblLook w:firstColumn="1" w:firstRow="1" w:lastColumn="0" w:lastRow="0" w:noHBand="0" w:noVBand="1" w:val="04A0"/>
      </w:tblPr>
      <w:tblGrid>
        <w:gridCol w:w="4323"/>
        <w:gridCol w:w="4323"/>
      </w:tblGrid>
      <w:tr>
        <w:tc>
          <w:tcPr>
            <w:tcW w:type="dxa" w:w="4252"/>
            <w:shd w:val="clear" w:color="auto" w:fill="F1F5F9"/>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center"/>
            </w:pPr>
            <w:r>
              <w:rPr>
                <w:rFonts w:ascii="Times New Roman" w:hAnsi="Times New Roman" w:eastAsia="宋体"/>
                <w:b/>
                <w:color w:val="000000"/>
                <w:sz w:val="24"/>
              </w:rPr>
              <w:t>条款原文</w:t>
            </w:r>
          </w:p>
        </w:tc>
        <w:tc>
          <w:tcPr>
            <w:tcW w:type="dxa" w:w="4252"/>
            <w:shd w:val="clear" w:color="auto" w:fill="F1F5F9"/>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center"/>
            </w:pPr>
            <w:r>
              <w:rPr>
                <w:rFonts w:ascii="Times New Roman" w:hAnsi="Times New Roman" w:eastAsia="宋体"/>
                <w:b/>
                <w:color w:val="000000"/>
                <w:sz w:val="24"/>
              </w:rPr>
              <w:t>修改建议</w:t>
            </w:r>
          </w:p>
        </w:tc>
      </w:tr>
      <w:tr>
        <w:tc>
          <w:tcPr>
            <w:tcW w:type="dxa" w:w="4252"/>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left"/>
            </w:pPr>
            <w:r>
              <w:rPr>
                <w:rFonts w:ascii="Times New Roman" w:hAnsi="Times New Roman" w:eastAsia="宋体"/>
                <w:b w:val="0"/>
                <w:color w:val="000000"/>
                <w:sz w:val="24"/>
              </w:rPr>
              <w:t>甲方逾期支付款项的，每逾期一日，按未付款项的 5% 向乙方支付违约金;乙方逾期交付的，每逾期一日，按合同总金额的 20% 向甲方支付违约金。</w:t>
            </w:r>
          </w:p>
        </w:tc>
        <w:tc>
          <w:tcPr>
            <w:tcW w:type="dxa" w:w="4252"/>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left"/>
            </w:pPr>
            <w:r>
              <w:rPr>
                <w:rFonts w:ascii="Times New Roman" w:hAnsi="Times New Roman" w:eastAsia="宋体"/>
                <w:b w:val="0"/>
                <w:color w:val="EE0000"/>
                <w:sz w:val="24"/>
              </w:rPr>
              <w:t>任何一方逾期履行本合同项下付款或交付义务的，每逾期一日，按相应未履行部分金额的万分之五向守约方支付违约金</w:t>
            </w:r>
            <w:r>
              <w:rPr>
                <w:rFonts w:ascii="Times New Roman" w:hAnsi="Times New Roman" w:eastAsia="宋体"/>
                <w:b w:val="0"/>
                <w:color w:val="000000"/>
                <w:sz w:val="24"/>
              </w:rPr>
              <w:t>。</w:t>
            </w:r>
          </w:p>
        </w:tc>
      </w:tr>
      <w:tr>
        <w:tc>
          <w:tcPr>
            <w:tcW w:type="dxa" w:w="8504"/>
            <w:gridSpan w:val="2"/>
            <w:shd w:val="clear" w:color="auto" w:fill="F1F5F9"/>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center"/>
            </w:pPr>
            <w:r>
              <w:rPr>
                <w:rFonts w:ascii="Times New Roman" w:hAnsi="Times New Roman" w:eastAsia="宋体"/>
                <w:b/>
                <w:color w:val="000000"/>
                <w:sz w:val="24"/>
              </w:rPr>
              <w:t>修改理由</w:t>
            </w:r>
          </w:p>
        </w:tc>
      </w:tr>
      <w:tr>
        <w:tc>
          <w:tcPr>
            <w:tcW w:type="dxa" w:w="8504"/>
            <w:gridSpan w:val="2"/>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left"/>
            </w:pPr>
            <w:r>
              <w:rPr>
                <w:rFonts w:ascii="Times New Roman" w:hAnsi="Times New Roman" w:eastAsia="宋体"/>
                <w:b w:val="0"/>
                <w:color w:val="000000"/>
                <w:sz w:val="24"/>
              </w:rPr>
              <w:t>双方逾期违约金标准差异达 4 倍（日 5% vs 日 20%），且两档日率均远超行业惯例（日万分之三至万分之五），实际争议中几乎必然被法院酌减。若争议发生，法院可能对不对等条款作偏向守约方的解释。</w:t>
            </w:r>
          </w:p>
        </w:tc>
      </w:tr>
    </w:tbl>
    <w:p>
      <w:pPr>
        <w:spacing w:line="360" w:lineRule="auto" w:before="80" w:after="0"/>
        <w:jc w:val="both"/>
      </w:pPr>
      <w:r>
        <w:rPr>
          <w:rFonts w:ascii="Times New Roman" w:hAnsi="Times New Roman" w:eastAsia="宋体"/>
          <w:b/>
          <w:color w:val="000000"/>
          <w:sz w:val="24"/>
        </w:rPr>
        <w:t>相关法条:</w:t>
      </w:r>
      <w:r>
        <w:rPr>
          <w:rFonts w:ascii="Times New Roman" w:hAnsi="Times New Roman" w:eastAsia="宋体"/>
          <w:b w:val="0"/>
          <w:color w:val="000000"/>
          <w:sz w:val="24"/>
        </w:rPr>
        <w:t>《中华人民共和国民法典》第 585 条</w:t>
      </w:r>
    </w:p>
    <w:p>
      <w:pPr>
        <w:spacing w:before="160" w:after="0"/>
      </w:pPr>
    </w:p>
    <w:tbl>
      <w:tblPr>
        <w:tblW w:type="auto" w:w="0"/>
        <w:jc w:val="center"/>
        <w:tblLook w:firstColumn="1" w:firstRow="1" w:lastColumn="0" w:lastRow="0" w:noHBand="0" w:noVBand="1" w:val="04A0"/>
      </w:tblPr>
      <w:tblGrid>
        <w:gridCol w:w="8646"/>
      </w:tblGrid>
      <w:tr>
        <w:tc>
          <w:tcPr>
            <w:tcW w:type="dxa" w:w="9071"/>
            <w:tcBorders>
              <w:top w:val="none" w:sz="0"/>
              <w:left w:val="none" w:sz="0"/>
              <w:right w:val="none" w:sz="0"/>
              <w:bottom w:val="single" w:sz="6" w:space="0" w:color="E0E0E0"/>
            </w:tcBorders>
          </w:tcPr>
          <w:p>
            <w:r/>
          </w:p>
        </w:tc>
      </w:tr>
    </w:tbl>
    <w:p>
      <w:pPr>
        <w:spacing w:before="320" w:after="80"/>
      </w:pPr>
      <w:r>
        <w:rPr>
          <w:rFonts w:ascii="Times New Roman" w:hAnsi="Times New Roman" w:eastAsia="宋体"/>
          <w:b/>
          <w:color w:val="000000"/>
          <w:sz w:val="28"/>
        </w:rPr>
        <w:t xml:space="preserve">风险 05   </w:t>
      </w:r>
      <w:r>
        <w:rPr>
          <w:rFonts w:ascii="Times New Roman" w:hAnsi="Times New Roman" w:eastAsia="宋体"/>
          <w:b/>
          <w:color w:val="00A650"/>
          <w:sz w:val="28"/>
        </w:rPr>
        <w:t xml:space="preserve">■ 低风险   </w:t>
      </w:r>
      <w:r>
        <w:rPr>
          <w:rFonts w:ascii="Times New Roman" w:hAnsi="Times New Roman" w:eastAsia="宋体"/>
          <w:b/>
          <w:color w:val="000000"/>
          <w:sz w:val="28"/>
        </w:rPr>
        <w:t>送达地址未明确确认</w:t>
      </w:r>
    </w:p>
    <w:p>
      <w:pPr>
        <w:spacing w:line="360" w:lineRule="auto" w:before="0" w:after="0"/>
        <w:jc w:val="both"/>
      </w:pPr>
      <w:r>
        <w:rPr>
          <w:rFonts w:ascii="Times New Roman" w:hAnsi="Times New Roman" w:eastAsia="宋体"/>
          <w:b w:val="0"/>
          <w:color w:val="000000"/>
          <w:sz w:val="24"/>
        </w:rPr>
        <w:t>条款位置:第 15.1 条  ·  对应清单:C050  ·  确认层级:L2  ·  规则来源:标准清单  ·  谈判优先级:Tier 3</w:t>
      </w:r>
    </w:p>
    <w:p>
      <w:pPr>
        <w:spacing w:line="360" w:lineRule="auto" w:before="0" w:after="0"/>
        <w:jc w:val="both"/>
      </w:pPr>
      <w:r>
        <w:rPr>
          <w:rFonts w:ascii="Times New Roman" w:hAnsi="Times New Roman" w:eastAsia="宋体"/>
          <w:b/>
          <w:color w:val="000000"/>
          <w:sz w:val="24"/>
        </w:rPr>
        <w:t>触发标准:</w:t>
      </w:r>
      <w:r>
        <w:rPr>
          <w:rFonts w:ascii="Times New Roman" w:hAnsi="Times New Roman" w:eastAsia="宋体"/>
          <w:b w:val="0"/>
          <w:color w:val="000000"/>
          <w:sz w:val="24"/>
        </w:rPr>
        <w:t>未约定送达地址 = ■ 低风险(提示关注)</w:t>
      </w:r>
    </w:p>
    <w:p>
      <w:pPr>
        <w:spacing w:after="0"/>
      </w:pPr>
    </w:p>
    <w:tbl>
      <w:tblPr>
        <w:tblW w:type="auto" w:w="0"/>
        <w:jc w:val="center"/>
        <w:tblLook w:firstColumn="1" w:firstRow="1" w:lastColumn="0" w:lastRow="0" w:noHBand="0" w:noVBand="1" w:val="04A0"/>
      </w:tblPr>
      <w:tblGrid>
        <w:gridCol w:w="4323"/>
        <w:gridCol w:w="4323"/>
      </w:tblGrid>
      <w:tr>
        <w:tc>
          <w:tcPr>
            <w:tcW w:type="dxa" w:w="4252"/>
            <w:shd w:val="clear" w:color="auto" w:fill="F1F5F9"/>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center"/>
            </w:pPr>
            <w:r>
              <w:rPr>
                <w:rFonts w:ascii="Times New Roman" w:hAnsi="Times New Roman" w:eastAsia="宋体"/>
                <w:b/>
                <w:color w:val="000000"/>
                <w:sz w:val="24"/>
              </w:rPr>
              <w:t>条款原文</w:t>
            </w:r>
          </w:p>
        </w:tc>
        <w:tc>
          <w:tcPr>
            <w:tcW w:type="dxa" w:w="4252"/>
            <w:shd w:val="clear" w:color="auto" w:fill="F1F5F9"/>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center"/>
            </w:pPr>
            <w:r>
              <w:rPr>
                <w:rFonts w:ascii="Times New Roman" w:hAnsi="Times New Roman" w:eastAsia="宋体"/>
                <w:b/>
                <w:color w:val="000000"/>
                <w:sz w:val="24"/>
              </w:rPr>
              <w:t>修改建议</w:t>
            </w:r>
          </w:p>
        </w:tc>
      </w:tr>
      <w:tr>
        <w:tc>
          <w:tcPr>
            <w:tcW w:type="dxa" w:w="4252"/>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left"/>
            </w:pPr>
            <w:r>
              <w:rPr>
                <w:rFonts w:ascii="Times New Roman" w:hAnsi="Times New Roman" w:eastAsia="宋体"/>
                <w:b w:val="0"/>
                <w:color w:val="000000"/>
                <w:sz w:val="24"/>
              </w:rPr>
              <w:t>本合同有关通知应当以书面形式送达对方。</w:t>
            </w:r>
          </w:p>
        </w:tc>
        <w:tc>
          <w:tcPr>
            <w:tcW w:type="dxa" w:w="4252"/>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left"/>
            </w:pPr>
            <w:r>
              <w:rPr>
                <w:rFonts w:ascii="Times New Roman" w:hAnsi="Times New Roman" w:eastAsia="宋体"/>
                <w:b w:val="0"/>
                <w:color w:val="000000"/>
                <w:sz w:val="24"/>
              </w:rPr>
              <w:t>本合同有关通知应当以书面形式送达对方。</w:t>
            </w:r>
            <w:r>
              <w:rPr>
                <w:rFonts w:ascii="Times New Roman" w:hAnsi="Times New Roman" w:eastAsia="宋体"/>
                <w:b w:val="0"/>
                <w:color w:val="EE0000"/>
                <w:sz w:val="24"/>
              </w:rPr>
              <w:t>双方确认本合同首部所列联系地址为法律文书送达地址；一方地址变更的，应当书面通知对方，未书面通知的，按原地址送达即视为有效送达。</w:t>
            </w:r>
          </w:p>
        </w:tc>
      </w:tr>
      <w:tr>
        <w:tc>
          <w:tcPr>
            <w:tcW w:type="dxa" w:w="8504"/>
            <w:gridSpan w:val="2"/>
            <w:shd w:val="clear" w:color="auto" w:fill="F1F5F9"/>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center"/>
            </w:pPr>
            <w:r>
              <w:rPr>
                <w:rFonts w:ascii="Times New Roman" w:hAnsi="Times New Roman" w:eastAsia="宋体"/>
                <w:b/>
                <w:color w:val="000000"/>
                <w:sz w:val="24"/>
              </w:rPr>
              <w:t>修改理由</w:t>
            </w:r>
          </w:p>
        </w:tc>
      </w:tr>
      <w:tr>
        <w:tc>
          <w:tcPr>
            <w:tcW w:type="dxa" w:w="8504"/>
            <w:gridSpan w:val="2"/>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left"/>
            </w:pPr>
            <w:r>
              <w:rPr>
                <w:rFonts w:ascii="Times New Roman" w:hAnsi="Times New Roman" w:eastAsia="宋体"/>
                <w:b w:val="0"/>
                <w:color w:val="000000"/>
                <w:sz w:val="24"/>
              </w:rPr>
              <w:t>未约定法定送达地址,诉讼阶段可能导致送达困难。</w:t>
            </w:r>
          </w:p>
        </w:tc>
      </w:tr>
    </w:tbl>
    <w:p>
      <w:pPr>
        <w:spacing w:line="360" w:lineRule="auto" w:before="80" w:after="0"/>
        <w:jc w:val="both"/>
      </w:pPr>
      <w:r>
        <w:rPr>
          <w:rFonts w:ascii="Times New Roman" w:hAnsi="Times New Roman" w:eastAsia="宋体"/>
          <w:b/>
          <w:color w:val="000000"/>
          <w:sz w:val="24"/>
        </w:rPr>
        <w:t>相关法条:</w:t>
      </w:r>
      <w:r>
        <w:rPr>
          <w:rFonts w:ascii="Times New Roman" w:hAnsi="Times New Roman" w:eastAsia="宋体"/>
          <w:b w:val="0"/>
          <w:color w:val="000000"/>
          <w:sz w:val="24"/>
        </w:rPr>
        <w:t>《中华人民共和国民事诉讼法》第 90 条</w:t>
      </w:r>
    </w:p>
    <w:p>
      <w:pPr>
        <w:spacing w:before="160" w:after="0"/>
      </w:pPr>
    </w:p>
    <w:tbl>
      <w:tblPr>
        <w:tblW w:type="auto" w:w="0"/>
        <w:jc w:val="center"/>
        <w:tblLook w:firstColumn="1" w:firstRow="1" w:lastColumn="0" w:lastRow="0" w:noHBand="0" w:noVBand="1" w:val="04A0"/>
      </w:tblPr>
      <w:tblGrid>
        <w:gridCol w:w="8646"/>
      </w:tblGrid>
      <w:tr>
        <w:tc>
          <w:tcPr>
            <w:tcW w:type="dxa" w:w="9071"/>
            <w:tcBorders>
              <w:top w:val="none" w:sz="0"/>
              <w:left w:val="none" w:sz="0"/>
              <w:right w:val="none" w:sz="0"/>
              <w:bottom w:val="single" w:sz="6" w:space="0" w:color="E0E0E0"/>
            </w:tcBorders>
          </w:tcPr>
          <w:p>
            <w:r/>
          </w:p>
        </w:tc>
      </w:tr>
    </w:tbl>
    <w:p>
      <w:pPr>
        <w:pStyle w:val="Heading1"/>
        <w:spacing w:line="360" w:lineRule="auto" w:before="320" w:after="160"/>
        <w:ind w:firstLine="482"/>
        <w:jc w:val="both"/>
      </w:pPr>
      <w:r>
        <w:rPr>
          <w:rFonts w:ascii="Times New Roman" w:hAnsi="Times New Roman" w:eastAsia="宋体"/>
          <w:b/>
          <w:color w:val="000000"/>
          <w:sz w:val="32"/>
        </w:rPr>
        <w:t>五、缺失条款提示</w:t>
      </w:r>
    </w:p>
    <w:p>
      <w:pPr>
        <w:spacing w:line="360" w:lineRule="auto" w:before="0" w:after="0"/>
        <w:ind w:firstLine="482"/>
        <w:jc w:val="both"/>
      </w:pPr>
      <w:r>
        <w:rPr>
          <w:rFonts w:ascii="Times New Roman" w:hAnsi="Times New Roman" w:eastAsia="宋体"/>
          <w:b w:val="0"/>
          <w:color w:val="000000"/>
          <w:sz w:val="24"/>
        </w:rPr>
        <w:t>本章列出审查清单中标记为"缺失检查项"(is_completion_check=true)、但合同文本未发现对应条款的项目。清单外条款不在此章列出。</w:t>
      </w:r>
    </w:p>
    <w:p>
      <w:pPr>
        <w:pStyle w:val="Heading2"/>
        <w:spacing w:line="360" w:lineRule="auto" w:before="160" w:after="160"/>
        <w:ind w:firstLine="482"/>
        <w:jc w:val="both"/>
      </w:pPr>
      <w:r>
        <w:rPr>
          <w:rFonts w:ascii="Times New Roman" w:hAnsi="Times New Roman" w:eastAsia="宋体"/>
          <w:b/>
          <w:color w:val="000000"/>
          <w:sz w:val="28"/>
        </w:rPr>
        <w:t>5.1 缺失条款汇总</w:t>
      </w:r>
    </w:p>
    <w:tbl>
      <w:tblPr>
        <w:tblW w:type="auto" w:w="0"/>
        <w:jc w:val="center"/>
        <w:tblLook w:firstColumn="1" w:firstRow="1" w:lastColumn="0" w:lastRow="0" w:noHBand="0" w:noVBand="1" w:val="04A0"/>
      </w:tblPr>
      <w:tblGrid>
        <w:gridCol w:w="1729"/>
        <w:gridCol w:w="1729"/>
        <w:gridCol w:w="1729"/>
        <w:gridCol w:w="1729"/>
        <w:gridCol w:w="1729"/>
      </w:tblGrid>
      <w:tr>
        <w:tc>
          <w:tcPr>
            <w:tcW w:type="dxa" w:w="680"/>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color w:val="000000"/>
                <w:sz w:val="21"/>
              </w:rPr>
              <w:t>序号</w:t>
            </w:r>
          </w:p>
        </w:tc>
        <w:tc>
          <w:tcPr>
            <w:tcW w:type="dxa" w:w="2268"/>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color w:val="000000"/>
                <w:sz w:val="21"/>
              </w:rPr>
              <w:t>缺失条款</w:t>
            </w:r>
          </w:p>
        </w:tc>
        <w:tc>
          <w:tcPr>
            <w:tcW w:type="dxa" w:w="1134"/>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color w:val="000000"/>
                <w:sz w:val="21"/>
              </w:rPr>
              <w:t>对应清单</w:t>
            </w:r>
          </w:p>
        </w:tc>
        <w:tc>
          <w:tcPr>
            <w:tcW w:type="dxa" w:w="1417"/>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color w:val="000000"/>
                <w:sz w:val="21"/>
              </w:rPr>
              <w:t>重要程度</w:t>
            </w:r>
          </w:p>
        </w:tc>
        <w:tc>
          <w:tcPr>
            <w:tcW w:type="dxa" w:w="3685"/>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color w:val="000000"/>
                <w:sz w:val="21"/>
              </w:rPr>
              <w:t>建议概述</w:t>
            </w:r>
          </w:p>
        </w:tc>
      </w:tr>
      <w:tr>
        <w:tc>
          <w:tcPr>
            <w:tcW w:type="dxa" w:w="680"/>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val="0"/>
                <w:color w:val="000000"/>
                <w:sz w:val="21"/>
              </w:rPr>
              <w:t>1</w:t>
            </w:r>
          </w:p>
        </w:tc>
        <w:tc>
          <w:tcPr>
            <w:tcW w:type="dxa" w:w="2268"/>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1"/>
              </w:rPr>
              <w:t>不可抗力条款</w:t>
            </w:r>
          </w:p>
        </w:tc>
        <w:tc>
          <w:tcPr>
            <w:tcW w:type="dxa" w:w="1134"/>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val="0"/>
                <w:color w:val="000000"/>
                <w:sz w:val="21"/>
              </w:rPr>
              <w:t>C046</w:t>
            </w:r>
          </w:p>
        </w:tc>
        <w:tc>
          <w:tcPr>
            <w:tcW w:type="dxa" w:w="1417"/>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color w:val="FF9900"/>
                <w:sz w:val="21"/>
              </w:rPr>
              <w:t>■ 建议补充</w:t>
            </w:r>
          </w:p>
        </w:tc>
        <w:tc>
          <w:tcPr>
            <w:tcW w:type="dxa" w:w="3685"/>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1"/>
              </w:rPr>
              <w:t>补充标准不可抗力条款</w:t>
            </w:r>
          </w:p>
        </w:tc>
      </w:tr>
    </w:tbl>
    <w:p>
      <w:pPr>
        <w:pStyle w:val="Heading2"/>
        <w:spacing w:line="360" w:lineRule="auto" w:before="160" w:after="160"/>
        <w:ind w:firstLine="482"/>
        <w:jc w:val="both"/>
      </w:pPr>
      <w:r>
        <w:rPr>
          <w:rFonts w:ascii="Times New Roman" w:hAnsi="Times New Roman" w:eastAsia="宋体"/>
          <w:b/>
          <w:color w:val="000000"/>
          <w:sz w:val="28"/>
        </w:rPr>
        <w:t>5.2 缺失条款补充建议</w:t>
      </w:r>
    </w:p>
    <w:p>
      <w:pPr>
        <w:spacing w:line="360" w:lineRule="auto" w:before="0" w:after="0"/>
        <w:ind w:firstLine="482"/>
        <w:jc w:val="both"/>
      </w:pPr>
      <w:r>
        <w:rPr>
          <w:rFonts w:ascii="Times New Roman" w:hAnsi="Times New Roman" w:eastAsia="宋体"/>
          <w:b w:val="0"/>
          <w:color w:val="000000"/>
          <w:sz w:val="24"/>
        </w:rPr>
        <w:t>对每项"必须补充"和"建议补充"的缺失条款,给出可直接插入合同的桥面条款。</w:t>
      </w:r>
    </w:p>
    <w:p>
      <w:pPr>
        <w:spacing w:before="240" w:after="80"/>
      </w:pPr>
      <w:r>
        <w:rPr>
          <w:rFonts w:ascii="Times New Roman" w:hAnsi="Times New Roman" w:eastAsia="宋体"/>
          <w:b/>
          <w:color w:val="000000"/>
          <w:sz w:val="24"/>
        </w:rPr>
        <w:t>【缺失 1】不可抗力条款  ·  对应清单:C046  ·  ■ 建议补充</w:t>
      </w:r>
    </w:p>
    <w:tbl>
      <w:tblPr>
        <w:tblW w:type="auto" w:w="0"/>
        <w:jc w:val="center"/>
        <w:tblLook w:firstColumn="1" w:firstRow="1" w:lastColumn="0" w:lastRow="0" w:noHBand="0" w:noVBand="1" w:val="04A0"/>
      </w:tblPr>
      <w:tblGrid>
        <w:gridCol w:w="4323"/>
        <w:gridCol w:w="4323"/>
      </w:tblGrid>
      <w:tr>
        <w:tc>
          <w:tcPr>
            <w:tcW w:type="dxa" w:w="4252"/>
            <w:shd w:val="clear" w:color="auto" w:fill="F1F5F9"/>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center"/>
            </w:pPr>
            <w:r>
              <w:rPr>
                <w:rFonts w:ascii="Times New Roman" w:hAnsi="Times New Roman" w:eastAsia="宋体"/>
                <w:b/>
                <w:color w:val="000000"/>
                <w:sz w:val="24"/>
              </w:rPr>
              <w:t>条款原文</w:t>
            </w:r>
          </w:p>
        </w:tc>
        <w:tc>
          <w:tcPr>
            <w:tcW w:type="dxa" w:w="4252"/>
            <w:shd w:val="clear" w:color="auto" w:fill="F1F5F9"/>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center"/>
            </w:pPr>
            <w:r>
              <w:rPr>
                <w:rFonts w:ascii="Times New Roman" w:hAnsi="Times New Roman" w:eastAsia="宋体"/>
                <w:b/>
                <w:color w:val="000000"/>
                <w:sz w:val="24"/>
              </w:rPr>
              <w:t>修改建议</w:t>
            </w:r>
          </w:p>
        </w:tc>
      </w:tr>
      <w:tr>
        <w:tc>
          <w:tcPr>
            <w:tcW w:type="dxa" w:w="4252"/>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left"/>
            </w:pPr>
            <w:r>
              <w:rPr>
                <w:rFonts w:ascii="Times New Roman" w:hAnsi="Times New Roman" w:eastAsia="宋体"/>
                <w:b w:val="0"/>
                <w:color w:val="000000"/>
                <w:sz w:val="24"/>
              </w:rPr>
              <w:t>(合同中未约定此条款)</w:t>
            </w:r>
          </w:p>
        </w:tc>
        <w:tc>
          <w:tcPr>
            <w:tcW w:type="dxa" w:w="4252"/>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left"/>
            </w:pPr>
            <w:r>
              <w:rPr>
                <w:rFonts w:ascii="Times New Roman" w:hAnsi="Times New Roman" w:eastAsia="宋体"/>
                <w:b w:val="0"/>
                <w:color w:val="000000"/>
                <w:sz w:val="24"/>
              </w:rPr>
              <w:t>因不可抗力事件导致本合同全部或部分无法履行的，</w:t>
            </w:r>
            <w:r>
              <w:rPr>
                <w:rFonts w:ascii="Times New Roman" w:hAnsi="Times New Roman" w:eastAsia="宋体"/>
                <w:b w:val="0"/>
                <w:color w:val="EE0000"/>
                <w:sz w:val="24"/>
              </w:rPr>
              <w:t>受影响方应在事件发生后 15 日内书面通知对方</w:t>
            </w:r>
            <w:r>
              <w:rPr>
                <w:rFonts w:ascii="Times New Roman" w:hAnsi="Times New Roman" w:eastAsia="宋体"/>
                <w:b w:val="0"/>
                <w:color w:val="000000"/>
                <w:sz w:val="24"/>
              </w:rPr>
              <w:t xml:space="preserve">，并在 </w:t>
            </w:r>
            <w:r>
              <w:rPr>
                <w:rFonts w:ascii="Times New Roman" w:hAnsi="Times New Roman" w:eastAsia="宋体"/>
                <w:b w:val="0"/>
                <w:color w:val="EE0000"/>
                <w:sz w:val="24"/>
              </w:rPr>
              <w:t>30 日内提供相关机构出具的证明</w:t>
            </w:r>
            <w:r>
              <w:rPr>
                <w:rFonts w:ascii="Times New Roman" w:hAnsi="Times New Roman" w:eastAsia="宋体"/>
                <w:b w:val="0"/>
                <w:color w:val="000000"/>
                <w:sz w:val="24"/>
              </w:rPr>
              <w:t>。</w:t>
            </w:r>
            <w:r>
              <w:rPr>
                <w:rFonts w:ascii="Times New Roman" w:hAnsi="Times New Roman" w:eastAsia="宋体"/>
                <w:b w:val="0"/>
                <w:color w:val="EE0000"/>
                <w:sz w:val="24"/>
              </w:rPr>
              <w:t>不可抗力持续超过 60 日的，任何一方均可书面通知解除本合同</w:t>
            </w:r>
            <w:r>
              <w:rPr>
                <w:rFonts w:ascii="Times New Roman" w:hAnsi="Times New Roman" w:eastAsia="宋体"/>
                <w:b w:val="0"/>
                <w:color w:val="000000"/>
                <w:sz w:val="24"/>
              </w:rPr>
              <w:t>。</w:t>
            </w:r>
          </w:p>
        </w:tc>
      </w:tr>
      <w:tr>
        <w:tc>
          <w:tcPr>
            <w:tcW w:type="dxa" w:w="8504"/>
            <w:gridSpan w:val="2"/>
            <w:shd w:val="clear" w:color="auto" w:fill="F1F5F9"/>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center"/>
            </w:pPr>
            <w:r>
              <w:rPr>
                <w:rFonts w:ascii="Times New Roman" w:hAnsi="Times New Roman" w:eastAsia="宋体"/>
                <w:b/>
                <w:color w:val="000000"/>
                <w:sz w:val="24"/>
              </w:rPr>
              <w:t>补充理由</w:t>
            </w:r>
          </w:p>
        </w:tc>
      </w:tr>
      <w:tr>
        <w:tc>
          <w:tcPr>
            <w:tcW w:type="dxa" w:w="8504"/>
            <w:gridSpan w:val="2"/>
            <w:vAlign w:val="center"/>
            <w:tcBorders>
              <w:top w:val="single" w:sz="4" w:space="0" w:color="BFBFBF"/>
              <w:left w:val="single" w:sz="4" w:space="0" w:color="BFBFBF"/>
              <w:bottom w:val="single" w:sz="4" w:space="0" w:color="BFBFBF"/>
              <w:right w:val="single" w:sz="4" w:space="0" w:color="BFBFBF"/>
            </w:tcBorders>
          </w:tcPr>
          <w:p>
            <w:pPr>
              <w:spacing w:line="276" w:lineRule="auto" w:before="80" w:after="80"/>
              <w:ind w:firstLine="0"/>
              <w:jc w:val="left"/>
            </w:pPr>
            <w:r>
              <w:rPr>
                <w:rFonts w:ascii="Times New Roman" w:hAnsi="Times New Roman" w:eastAsia="宋体"/>
                <w:b w:val="0"/>
                <w:color w:val="000000"/>
                <w:sz w:val="24"/>
              </w:rPr>
              <w:t>不可抗力条款是标准合同条款,合同中缺失该条款将在发生疫情、自然灾害、政策管制等事件时无法明确责任归属。建议补充具体的通知期限、证明要求和解除机制。</w:t>
            </w:r>
          </w:p>
        </w:tc>
      </w:tr>
    </w:tbl>
    <w:p>
      <w:pPr>
        <w:spacing w:before="80"/>
      </w:pPr>
    </w:p>
    <w:tbl>
      <w:tblPr>
        <w:tblW w:type="auto" w:w="0"/>
        <w:jc w:val="center"/>
        <w:tblLook w:firstColumn="1" w:firstRow="1" w:lastColumn="0" w:lastRow="0" w:noHBand="0" w:noVBand="1" w:val="04A0"/>
      </w:tblPr>
      <w:tblGrid>
        <w:gridCol w:w="8646"/>
      </w:tblGrid>
      <w:tr>
        <w:tc>
          <w:tcPr>
            <w:tcW w:type="dxa" w:w="9071"/>
            <w:tcBorders>
              <w:top w:val="none" w:sz="0"/>
              <w:left w:val="none" w:sz="0"/>
              <w:right w:val="none" w:sz="0"/>
              <w:bottom w:val="single" w:sz="6" w:space="0" w:color="E0E0E0"/>
            </w:tcBorders>
          </w:tcPr>
          <w:p>
            <w:r/>
          </w:p>
        </w:tc>
      </w:tr>
    </w:tbl>
    <w:p>
      <w:pPr>
        <w:pStyle w:val="Heading1"/>
        <w:spacing w:line="360" w:lineRule="auto" w:before="320" w:after="160"/>
        <w:ind w:firstLine="482"/>
        <w:jc w:val="both"/>
      </w:pPr>
      <w:r>
        <w:rPr>
          <w:rFonts w:ascii="Times New Roman" w:hAnsi="Times New Roman" w:eastAsia="宋体"/>
          <w:b/>
          <w:color w:val="000000"/>
          <w:sz w:val="32"/>
        </w:rPr>
        <w:t>六、清单外发现</w:t>
      </w:r>
    </w:p>
    <w:p>
      <w:pPr>
        <w:spacing w:line="360" w:lineRule="auto" w:before="0" w:after="0"/>
        <w:ind w:firstLine="482"/>
        <w:jc w:val="both"/>
      </w:pPr>
      <w:r>
        <w:rPr>
          <w:rFonts w:ascii="Times New Roman" w:hAnsi="Times New Roman" w:eastAsia="宋体"/>
          <w:b w:val="0"/>
          <w:color w:val="000000"/>
          <w:sz w:val="24"/>
        </w:rPr>
        <w:t>审查过程中发现的、当前审查清单未覆盖但值得关注的问题。这是 checklist.md 持续迭代的核心输入。</w:t>
      </w:r>
    </w:p>
    <w:p>
      <w:pPr>
        <w:spacing w:before="240" w:after="80"/>
      </w:pPr>
      <w:r>
        <w:rPr>
          <w:rFonts w:ascii="Times New Roman" w:hAnsi="Times New Roman" w:eastAsia="宋体"/>
          <w:b/>
          <w:color w:val="000000"/>
          <w:sz w:val="24"/>
        </w:rPr>
        <w:t>【清单外发现 1】竞业限制补偿金标准缺失</w:t>
      </w:r>
    </w:p>
    <w:p>
      <w:pPr>
        <w:spacing w:line="360" w:lineRule="auto" w:before="0" w:after="0"/>
        <w:jc w:val="both"/>
      </w:pPr>
      <w:r>
        <w:rPr>
          <w:rFonts w:ascii="Times New Roman" w:hAnsi="Times New Roman" w:eastAsia="宋体"/>
          <w:b/>
          <w:color w:val="000000"/>
          <w:sz w:val="24"/>
        </w:rPr>
        <w:t>条款位置:</w:t>
      </w:r>
      <w:r>
        <w:rPr>
          <w:rFonts w:ascii="Times New Roman" w:hAnsi="Times New Roman" w:eastAsia="宋体"/>
          <w:b w:val="0"/>
          <w:color w:val="000000"/>
          <w:sz w:val="24"/>
        </w:rPr>
        <w:t>第 12 条</w:t>
      </w:r>
    </w:p>
    <w:p>
      <w:pPr>
        <w:spacing w:line="360" w:lineRule="auto" w:before="0" w:after="0"/>
        <w:jc w:val="both"/>
      </w:pPr>
      <w:r>
        <w:rPr>
          <w:rFonts w:ascii="Times New Roman" w:hAnsi="Times New Roman" w:eastAsia="宋体"/>
          <w:b/>
          <w:color w:val="000000"/>
          <w:sz w:val="24"/>
        </w:rPr>
        <w:t>合同原文:</w:t>
      </w:r>
      <w:r>
        <w:rPr>
          <w:rFonts w:ascii="Times New Roman" w:hAnsi="Times New Roman" w:eastAsia="宋体"/>
          <w:b w:val="0"/>
          <w:color w:val="000000"/>
          <w:sz w:val="24"/>
        </w:rPr>
        <w:t>乙方核心人员（包括但不限于项目经理、技术总监、核心开发人员）在本合同期间及本合同期满后 2 年内，不得从事与本项目相关的竞争性业务</w:t>
      </w:r>
    </w:p>
    <w:p>
      <w:pPr>
        <w:spacing w:line="360" w:lineRule="auto" w:before="0" w:after="0"/>
        <w:ind w:firstLine="482"/>
        <w:jc w:val="both"/>
      </w:pPr>
      <w:r>
        <w:rPr>
          <w:rFonts w:ascii="Times New Roman" w:hAnsi="Times New Roman" w:eastAsia="宋体"/>
          <w:b w:val="0"/>
          <w:color w:val="000000"/>
          <w:sz w:val="24"/>
        </w:rPr>
        <w:t>合同约定了竞业限制义务,但未约定对应的补偿金标准。根据劳动合同法类推适用原理,无补偿的竞业限制实务中可能被认定不具约束力。</w:t>
      </w:r>
    </w:p>
    <w:p>
      <w:pPr>
        <w:spacing w:line="360" w:lineRule="auto" w:before="0" w:after="0"/>
        <w:jc w:val="both"/>
      </w:pPr>
      <w:r>
        <w:rPr>
          <w:rFonts w:ascii="Times New Roman" w:hAnsi="Times New Roman" w:eastAsia="宋体"/>
          <w:b/>
          <w:color w:val="000000"/>
          <w:sz w:val="24"/>
        </w:rPr>
        <w:t>建议处理:</w:t>
      </w:r>
      <w:r>
        <w:rPr>
          <w:rFonts w:ascii="Times New Roman" w:hAnsi="Times New Roman" w:eastAsia="宋体"/>
          <w:b w:val="0"/>
          <w:color w:val="000000"/>
          <w:sz w:val="24"/>
        </w:rPr>
        <w:t>补充竞业限制补偿金标准(通常为上年度月均工资的 30%-50%)</w:t>
      </w:r>
    </w:p>
    <w:p>
      <w:pPr>
        <w:spacing w:line="360" w:lineRule="auto" w:before="0" w:after="0"/>
        <w:jc w:val="both"/>
      </w:pPr>
      <w:r>
        <w:rPr>
          <w:rFonts w:ascii="Times New Roman" w:hAnsi="Times New Roman" w:eastAsia="宋体"/>
          <w:b/>
          <w:color w:val="000000"/>
          <w:sz w:val="24"/>
        </w:rPr>
        <w:t>建议补充到清单:</w:t>
      </w:r>
      <w:r>
        <w:rPr>
          <w:rFonts w:ascii="Times New Roman" w:hAnsi="Times New Roman" w:eastAsia="宋体"/>
          <w:b w:val="0"/>
          <w:color w:val="000000"/>
          <w:sz w:val="24"/>
        </w:rPr>
        <w:t>四、权利与义务</w:t>
      </w:r>
    </w:p>
    <w:tbl>
      <w:tblPr>
        <w:tblW w:type="auto" w:w="0"/>
        <w:jc w:val="center"/>
        <w:tblLook w:firstColumn="1" w:firstRow="1" w:lastColumn="0" w:lastRow="0" w:noHBand="0" w:noVBand="1" w:val="04A0"/>
      </w:tblPr>
      <w:tblGrid>
        <w:gridCol w:w="8646"/>
      </w:tblGrid>
      <w:tr>
        <w:tc>
          <w:tcPr>
            <w:tcW w:type="dxa" w:w="9071"/>
            <w:tcBorders>
              <w:top w:val="none" w:sz="0"/>
              <w:left w:val="none" w:sz="0"/>
              <w:right w:val="none" w:sz="0"/>
              <w:bottom w:val="single" w:sz="6" w:space="0" w:color="E0E0E0"/>
            </w:tcBorders>
          </w:tcPr>
          <w:p>
            <w:r/>
          </w:p>
        </w:tc>
      </w:tr>
    </w:tbl>
    <w:p>
      <w:pPr>
        <w:pStyle w:val="Heading1"/>
        <w:spacing w:line="360" w:lineRule="auto" w:before="320" w:after="160"/>
        <w:ind w:firstLine="482"/>
        <w:jc w:val="both"/>
      </w:pPr>
      <w:r>
        <w:rPr>
          <w:rFonts w:ascii="Times New Roman" w:hAnsi="Times New Roman" w:eastAsia="宋体"/>
          <w:b/>
          <w:color w:val="000000"/>
          <w:sz w:val="32"/>
        </w:rPr>
        <w:t>七、法条引用索引</w:t>
      </w:r>
    </w:p>
    <w:p>
      <w:pPr>
        <w:spacing w:line="360" w:lineRule="auto" w:before="0" w:after="0"/>
        <w:ind w:firstLine="482"/>
        <w:jc w:val="both"/>
      </w:pPr>
      <w:r>
        <w:rPr>
          <w:rFonts w:ascii="Times New Roman" w:hAnsi="Times New Roman" w:eastAsia="宋体"/>
          <w:b w:val="0"/>
          <w:color w:val="000000"/>
          <w:sz w:val="24"/>
        </w:rPr>
        <w:t>本章集中列出报告中引用的全部法律法规和条文。每条引用包含:法规全称、版本年份、条文编号、原文引用、校验日期。</w:t>
      </w:r>
    </w:p>
    <w:p>
      <w:pPr>
        <w:spacing w:before="200"/>
      </w:pPr>
      <w:r>
        <w:rPr>
          <w:rFonts w:ascii="Times New Roman" w:hAnsi="Times New Roman" w:eastAsia="宋体"/>
          <w:b/>
          <w:color w:val="000000"/>
          <w:sz w:val="24"/>
        </w:rPr>
        <w:t xml:space="preserve">【1】 </w:t>
      </w:r>
      <w:r>
        <w:rPr>
          <w:rFonts w:ascii="Times New Roman" w:hAnsi="Times New Roman" w:eastAsia="宋体"/>
          <w:b/>
          <w:color w:val="000000"/>
          <w:sz w:val="24"/>
        </w:rPr>
        <w:t>《中华人民共和国民法典》</w:t>
      </w:r>
      <w:r>
        <w:rPr>
          <w:rFonts w:ascii="Times New Roman" w:hAnsi="Times New Roman" w:eastAsia="宋体"/>
          <w:b w:val="0"/>
          <w:color w:val="000000"/>
          <w:sz w:val="24"/>
        </w:rPr>
        <w:t>(2020 年制定,2021 年 1 月 1 日施行)</w:t>
      </w:r>
      <w:r>
        <w:rPr>
          <w:rFonts w:ascii="Times New Roman" w:hAnsi="Times New Roman" w:eastAsia="宋体"/>
          <w:b/>
          <w:color w:val="000000"/>
          <w:sz w:val="24"/>
        </w:rPr>
        <w:t xml:space="preserve"> 第 498 条</w:t>
      </w:r>
    </w:p>
    <w:p>
      <w:pPr>
        <w:spacing w:line="360" w:lineRule="auto" w:before="0" w:after="0"/>
        <w:ind w:firstLine="482"/>
        <w:jc w:val="both"/>
      </w:pPr>
      <w:r>
        <w:rPr>
          <w:rFonts w:ascii="Times New Roman" w:hAnsi="Times New Roman" w:eastAsia="宋体"/>
          <w:b/>
          <w:color w:val="000000"/>
          <w:sz w:val="24"/>
        </w:rPr>
        <w:t>原文:</w:t>
      </w:r>
      <w:r>
        <w:rPr>
          <w:rFonts w:ascii="Times New Roman" w:hAnsi="Times New Roman" w:eastAsia="宋体"/>
          <w:b w:val="0"/>
          <w:color w:val="000000"/>
          <w:sz w:val="24"/>
        </w:rPr>
        <w:t>对格式条款有两种以上解释的,应当作出不利于提供格式条款一方的解释。</w:t>
      </w:r>
    </w:p>
    <w:p>
      <w:pPr>
        <w:spacing w:line="360" w:lineRule="auto" w:before="0" w:after="0"/>
        <w:jc w:val="both"/>
      </w:pPr>
      <w:r>
        <w:rPr>
          <w:rFonts w:ascii="Times New Roman" w:hAnsi="Times New Roman" w:eastAsia="宋体"/>
          <w:b w:val="0"/>
          <w:color w:val="000000"/>
          <w:sz w:val="21"/>
        </w:rPr>
        <w:t>引用于:风险 2    校验日期:2026 年 4 月 17 日</w:t>
      </w:r>
    </w:p>
    <w:p>
      <w:pPr>
        <w:spacing w:before="200"/>
      </w:pPr>
      <w:r>
        <w:rPr>
          <w:rFonts w:ascii="Times New Roman" w:hAnsi="Times New Roman" w:eastAsia="宋体"/>
          <w:b/>
          <w:color w:val="000000"/>
          <w:sz w:val="24"/>
        </w:rPr>
        <w:t xml:space="preserve">【2】 </w:t>
      </w:r>
      <w:r>
        <w:rPr>
          <w:rFonts w:ascii="Times New Roman" w:hAnsi="Times New Roman" w:eastAsia="宋体"/>
          <w:b/>
          <w:color w:val="000000"/>
          <w:sz w:val="24"/>
        </w:rPr>
        <w:t>《中华人民共和国民法典》</w:t>
      </w:r>
      <w:r>
        <w:rPr>
          <w:rFonts w:ascii="Times New Roman" w:hAnsi="Times New Roman" w:eastAsia="宋体"/>
          <w:b w:val="0"/>
          <w:color w:val="000000"/>
          <w:sz w:val="24"/>
        </w:rPr>
        <w:t>(2020 年制定,2021 年 1 月 1 日施行)</w:t>
      </w:r>
      <w:r>
        <w:rPr>
          <w:rFonts w:ascii="Times New Roman" w:hAnsi="Times New Roman" w:eastAsia="宋体"/>
          <w:b/>
          <w:color w:val="000000"/>
          <w:sz w:val="24"/>
        </w:rPr>
        <w:t xml:space="preserve"> 第 585 条第 2 款</w:t>
      </w:r>
    </w:p>
    <w:p>
      <w:pPr>
        <w:spacing w:line="360" w:lineRule="auto" w:before="0" w:after="0"/>
        <w:ind w:firstLine="482"/>
        <w:jc w:val="both"/>
      </w:pPr>
      <w:r>
        <w:rPr>
          <w:rFonts w:ascii="Times New Roman" w:hAnsi="Times New Roman" w:eastAsia="宋体"/>
          <w:b/>
          <w:color w:val="000000"/>
          <w:sz w:val="24"/>
        </w:rPr>
        <w:t>原文:</w:t>
      </w:r>
      <w:r>
        <w:rPr>
          <w:rFonts w:ascii="Times New Roman" w:hAnsi="Times New Roman" w:eastAsia="宋体"/>
          <w:b w:val="0"/>
          <w:color w:val="000000"/>
          <w:sz w:val="24"/>
        </w:rPr>
        <w:t>约定的违约金过分高于造成的损失的,人民法院或者仲裁机构可以根据当事人的请求予以适当减少。</w:t>
      </w:r>
    </w:p>
    <w:p>
      <w:pPr>
        <w:spacing w:line="360" w:lineRule="auto" w:before="0" w:after="0"/>
        <w:jc w:val="both"/>
      </w:pPr>
      <w:r>
        <w:rPr>
          <w:rFonts w:ascii="Times New Roman" w:hAnsi="Times New Roman" w:eastAsia="宋体"/>
          <w:b w:val="0"/>
          <w:color w:val="000000"/>
          <w:sz w:val="21"/>
        </w:rPr>
        <w:t>引用于:风险 3、风险 4    校验日期:2026 年 4 月 17 日</w:t>
      </w:r>
    </w:p>
    <w:p>
      <w:pPr>
        <w:spacing w:before="200"/>
      </w:pPr>
      <w:r>
        <w:rPr>
          <w:rFonts w:ascii="Times New Roman" w:hAnsi="Times New Roman" w:eastAsia="宋体"/>
          <w:b/>
          <w:color w:val="000000"/>
          <w:sz w:val="24"/>
        </w:rPr>
        <w:t xml:space="preserve">【3】 </w:t>
      </w:r>
      <w:r>
        <w:rPr>
          <w:rFonts w:ascii="Times New Roman" w:hAnsi="Times New Roman" w:eastAsia="宋体"/>
          <w:b/>
          <w:color w:val="000000"/>
          <w:sz w:val="24"/>
        </w:rPr>
        <w:t>《中华人民共和国民法典》</w:t>
      </w:r>
      <w:r>
        <w:rPr>
          <w:rFonts w:ascii="Times New Roman" w:hAnsi="Times New Roman" w:eastAsia="宋体"/>
          <w:b w:val="0"/>
          <w:color w:val="000000"/>
          <w:sz w:val="24"/>
        </w:rPr>
        <w:t>(2020 年制定,2021 年 1 月 1 日施行)</w:t>
      </w:r>
      <w:r>
        <w:rPr>
          <w:rFonts w:ascii="Times New Roman" w:hAnsi="Times New Roman" w:eastAsia="宋体"/>
          <w:b/>
          <w:color w:val="000000"/>
          <w:sz w:val="24"/>
        </w:rPr>
        <w:t xml:space="preserve"> 第 687 条</w:t>
      </w:r>
    </w:p>
    <w:p>
      <w:pPr>
        <w:spacing w:line="360" w:lineRule="auto" w:before="0" w:after="0"/>
        <w:ind w:firstLine="482"/>
        <w:jc w:val="both"/>
      </w:pPr>
      <w:r>
        <w:rPr>
          <w:rFonts w:ascii="Times New Roman" w:hAnsi="Times New Roman" w:eastAsia="宋体"/>
          <w:b/>
          <w:color w:val="000000"/>
          <w:sz w:val="24"/>
        </w:rPr>
        <w:t>原文:</w:t>
      </w:r>
      <w:r>
        <w:rPr>
          <w:rFonts w:ascii="Times New Roman" w:hAnsi="Times New Roman" w:eastAsia="宋体"/>
          <w:b w:val="0"/>
          <w:color w:val="000000"/>
          <w:sz w:val="24"/>
        </w:rPr>
        <w:t>当事人在保证合同中约定保证人在债务人不能履行债务时承担保证责任的,为一般保证。</w:t>
      </w:r>
    </w:p>
    <w:p>
      <w:pPr>
        <w:spacing w:line="360" w:lineRule="auto" w:before="0" w:after="0"/>
        <w:jc w:val="both"/>
      </w:pPr>
      <w:r>
        <w:rPr>
          <w:rFonts w:ascii="Times New Roman" w:hAnsi="Times New Roman" w:eastAsia="宋体"/>
          <w:b w:val="0"/>
          <w:color w:val="000000"/>
          <w:sz w:val="21"/>
        </w:rPr>
        <w:t>引用于:风险 1    校验日期:2026 年 4 月 17 日</w:t>
      </w:r>
    </w:p>
    <w:p>
      <w:pPr>
        <w:spacing w:before="200"/>
      </w:pPr>
      <w:r>
        <w:rPr>
          <w:rFonts w:ascii="Times New Roman" w:hAnsi="Times New Roman" w:eastAsia="宋体"/>
          <w:b/>
          <w:color w:val="000000"/>
          <w:sz w:val="24"/>
        </w:rPr>
        <w:t xml:space="preserve">【4】 </w:t>
      </w:r>
      <w:r>
        <w:rPr>
          <w:rFonts w:ascii="Times New Roman" w:hAnsi="Times New Roman" w:eastAsia="宋体"/>
          <w:b/>
          <w:color w:val="FF9900"/>
          <w:sz w:val="24"/>
        </w:rPr>
        <w:t xml:space="preserve">[待核实]  </w:t>
      </w:r>
      <w:r>
        <w:rPr>
          <w:rFonts w:ascii="Times New Roman" w:hAnsi="Times New Roman" w:eastAsia="宋体"/>
          <w:b/>
          <w:color w:val="000000"/>
          <w:sz w:val="24"/>
        </w:rPr>
        <w:t>《中华人民共和国民事诉讼法》</w:t>
      </w:r>
      <w:r>
        <w:rPr>
          <w:rFonts w:ascii="Times New Roman" w:hAnsi="Times New Roman" w:eastAsia="宋体"/>
          <w:b w:val="0"/>
          <w:color w:val="000000"/>
          <w:sz w:val="24"/>
        </w:rPr>
        <w:t>(2021 年修正)</w:t>
      </w:r>
      <w:r>
        <w:rPr>
          <w:rFonts w:ascii="Times New Roman" w:hAnsi="Times New Roman" w:eastAsia="宋体"/>
          <w:b/>
          <w:color w:val="000000"/>
          <w:sz w:val="24"/>
        </w:rPr>
        <w:t xml:space="preserve"> 第 90 条</w:t>
      </w:r>
    </w:p>
    <w:p>
      <w:pPr>
        <w:spacing w:line="360" w:lineRule="auto" w:before="0" w:after="0"/>
        <w:ind w:firstLine="482"/>
        <w:jc w:val="both"/>
      </w:pPr>
      <w:r>
        <w:rPr>
          <w:rFonts w:ascii="Times New Roman" w:hAnsi="Times New Roman" w:eastAsia="宋体"/>
          <w:b/>
          <w:color w:val="000000"/>
          <w:sz w:val="24"/>
        </w:rPr>
        <w:t>原文:</w:t>
      </w:r>
      <w:r>
        <w:rPr>
          <w:rFonts w:ascii="Times New Roman" w:hAnsi="Times New Roman" w:eastAsia="宋体"/>
          <w:b w:val="0"/>
          <w:color w:val="000000"/>
          <w:sz w:val="24"/>
        </w:rPr>
        <w:t>送达诉讼文书,应当直接送交受送达人。</w:t>
      </w:r>
    </w:p>
    <w:p>
      <w:pPr>
        <w:spacing w:line="360" w:lineRule="auto" w:before="0" w:after="0"/>
        <w:jc w:val="both"/>
      </w:pPr>
      <w:r>
        <w:rPr>
          <w:rFonts w:ascii="Times New Roman" w:hAnsi="Times New Roman" w:eastAsia="宋体"/>
          <w:b w:val="0"/>
          <w:color w:val="000000"/>
          <w:sz w:val="21"/>
        </w:rPr>
        <w:t>引用于:风险 5    校验日期:2026 年 4 月 17 日</w:t>
      </w:r>
    </w:p>
    <w:p>
      <w:pPr>
        <w:pStyle w:val="Heading1"/>
        <w:spacing w:line="360" w:lineRule="auto" w:before="320" w:after="160"/>
        <w:ind w:firstLine="482"/>
        <w:jc w:val="both"/>
      </w:pPr>
      <w:r>
        <w:rPr>
          <w:rFonts w:ascii="Times New Roman" w:hAnsi="Times New Roman" w:eastAsia="宋体"/>
          <w:b/>
          <w:color w:val="000000"/>
          <w:sz w:val="32"/>
        </w:rPr>
        <w:t>八、后续操作建议</w:t>
      </w:r>
    </w:p>
    <w:p>
      <w:pPr>
        <w:spacing w:line="360" w:lineRule="auto" w:before="0" w:after="0"/>
        <w:ind w:firstLine="482"/>
        <w:jc w:val="both"/>
      </w:pPr>
      <w:r>
        <w:rPr>
          <w:rFonts w:ascii="Times New Roman" w:hAnsi="Times New Roman" w:eastAsia="宋体"/>
          <w:b w:val="0"/>
          <w:color w:val="000000"/>
          <w:sz w:val="24"/>
        </w:rPr>
        <w:t>根据本次审查结果,可调用以下同系列 Skill 协同工作:</w:t>
      </w:r>
    </w:p>
    <w:tbl>
      <w:tblPr>
        <w:tblW w:type="auto" w:w="0"/>
        <w:jc w:val="center"/>
        <w:tblLook w:firstColumn="1" w:firstRow="1" w:lastColumn="0" w:lastRow="0" w:noHBand="0" w:noVBand="1" w:val="04A0"/>
      </w:tblPr>
      <w:tblGrid>
        <w:gridCol w:w="4323"/>
        <w:gridCol w:w="4323"/>
      </w:tblGrid>
      <w:tr>
        <w:tc>
          <w:tcPr>
            <w:tcW w:type="dxa" w:w="4535"/>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color w:val="000000"/>
                <w:sz w:val="21"/>
              </w:rPr>
              <w:t>需求场景</w:t>
            </w:r>
          </w:p>
        </w:tc>
        <w:tc>
          <w:tcPr>
            <w:tcW w:type="dxa" w:w="4535"/>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color w:val="000000"/>
                <w:sz w:val="21"/>
              </w:rPr>
              <w:t>对应 Skill</w:t>
            </w:r>
          </w:p>
        </w:tc>
      </w:tr>
      <w:tr>
        <w:tc>
          <w:tcPr>
            <w:tcW w:type="dxa" w:w="4323"/>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1"/>
              </w:rPr>
              <w:t>应用修改建议生成修订版合同</w:t>
            </w:r>
          </w:p>
        </w:tc>
        <w:tc>
          <w:tcPr>
            <w:tcW w:type="dxa" w:w="4323"/>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color w:val="000000"/>
                <w:sz w:val="21"/>
              </w:rPr>
              <w:t>mqc-contract-review-to-modify</w:t>
            </w:r>
          </w:p>
        </w:tc>
      </w:tr>
      <w:tr>
        <w:tc>
          <w:tcPr>
            <w:tcW w:type="dxa" w:w="4323"/>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60" w:after="60" w:line="276" w:lineRule="auto"/>
              <w:ind w:firstLine="0"/>
            </w:pPr>
            <w:r>
              <w:rPr>
                <w:rFonts w:ascii="Times New Roman" w:hAnsi="Times New Roman" w:eastAsia="宋体"/>
                <w:b w:val="0"/>
                <w:color w:val="000000"/>
                <w:sz w:val="21"/>
              </w:rPr>
              <w:t>生成批注版合同(原文不改,仅加批注)</w:t>
            </w:r>
          </w:p>
        </w:tc>
        <w:tc>
          <w:tcPr>
            <w:tcW w:type="dxa" w:w="4323"/>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60" w:after="60" w:line="276" w:lineRule="auto"/>
              <w:ind w:firstLine="0"/>
            </w:pPr>
            <w:r>
              <w:rPr>
                <w:rFonts w:ascii="Times New Roman" w:hAnsi="Times New Roman" w:eastAsia="宋体"/>
                <w:b/>
                <w:color w:val="000000"/>
                <w:sz w:val="21"/>
              </w:rPr>
              <w:t>mqc-contract-annotate</w:t>
            </w:r>
          </w:p>
        </w:tc>
      </w:tr>
      <w:tr>
        <w:tc>
          <w:tcPr>
            <w:tcW w:type="dxa" w:w="4323"/>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1"/>
              </w:rPr>
              <w:t>查询合同主体的工商登记、经营状况</w:t>
            </w:r>
          </w:p>
        </w:tc>
        <w:tc>
          <w:tcPr>
            <w:tcW w:type="dxa" w:w="4323"/>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color w:val="000000"/>
                <w:sz w:val="21"/>
              </w:rPr>
              <w:t>mqc-entity-verify</w:t>
            </w:r>
          </w:p>
        </w:tc>
      </w:tr>
      <w:tr>
        <w:tc>
          <w:tcPr>
            <w:tcW w:type="dxa" w:w="4323"/>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60" w:after="60" w:line="276" w:lineRule="auto"/>
              <w:ind w:firstLine="0"/>
            </w:pPr>
            <w:r>
              <w:rPr>
                <w:rFonts w:ascii="Times New Roman" w:hAnsi="Times New Roman" w:eastAsia="宋体"/>
                <w:b w:val="0"/>
                <w:color w:val="000000"/>
                <w:sz w:val="21"/>
              </w:rPr>
              <w:t>合同版本差异对比</w:t>
            </w:r>
          </w:p>
        </w:tc>
        <w:tc>
          <w:tcPr>
            <w:tcW w:type="dxa" w:w="4323"/>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60" w:after="60" w:line="276" w:lineRule="auto"/>
              <w:ind w:firstLine="0"/>
            </w:pPr>
            <w:r>
              <w:rPr>
                <w:rFonts w:ascii="Times New Roman" w:hAnsi="Times New Roman" w:eastAsia="宋体"/>
                <w:b/>
                <w:color w:val="000000"/>
                <w:sz w:val="21"/>
              </w:rPr>
              <w:t>mqc-contract-template-review</w:t>
            </w:r>
          </w:p>
        </w:tc>
      </w:tr>
      <w:tr>
        <w:tc>
          <w:tcPr>
            <w:tcW w:type="dxa" w:w="4323"/>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1"/>
              </w:rPr>
              <w:t>快速判断合同是否可签(3 分钟对话式)</w:t>
            </w:r>
          </w:p>
        </w:tc>
        <w:tc>
          <w:tcPr>
            <w:tcW w:type="dxa" w:w="4323"/>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color w:val="000000"/>
                <w:sz w:val="21"/>
              </w:rPr>
              <w:t>mqc-contract-review-quick</w:t>
            </w:r>
          </w:p>
        </w:tc>
      </w:tr>
      <w:tr>
        <w:tc>
          <w:tcPr>
            <w:tcW w:type="dxa" w:w="4323"/>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60" w:after="60" w:line="276" w:lineRule="auto"/>
              <w:ind w:firstLine="0"/>
            </w:pPr>
            <w:r>
              <w:rPr>
                <w:rFonts w:ascii="Times New Roman" w:hAnsi="Times New Roman" w:eastAsia="宋体"/>
                <w:b w:val="0"/>
                <w:color w:val="000000"/>
                <w:sz w:val="21"/>
              </w:rPr>
              <w:t>批量审查多份合同</w:t>
            </w:r>
          </w:p>
        </w:tc>
        <w:tc>
          <w:tcPr>
            <w:tcW w:type="dxa" w:w="4323"/>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60" w:after="60" w:line="276" w:lineRule="auto"/>
              <w:ind w:firstLine="0"/>
            </w:pPr>
            <w:r>
              <w:rPr>
                <w:rFonts w:ascii="Times New Roman" w:hAnsi="Times New Roman" w:eastAsia="宋体"/>
                <w:b/>
                <w:color w:val="000000"/>
                <w:sz w:val="21"/>
              </w:rPr>
              <w:t>mqc-contract-review-batch</w:t>
            </w:r>
          </w:p>
        </w:tc>
      </w:tr>
      <w:tr>
        <w:tc>
          <w:tcPr>
            <w:tcW w:type="dxa" w:w="4323"/>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1"/>
              </w:rPr>
              <w:t>合同文件脱敏处理</w:t>
            </w:r>
          </w:p>
        </w:tc>
        <w:tc>
          <w:tcPr>
            <w:tcW w:type="dxa" w:w="4323"/>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color w:val="000000"/>
                <w:sz w:val="21"/>
              </w:rPr>
              <w:t>mqc-doc-sanitize</w:t>
            </w:r>
          </w:p>
        </w:tc>
      </w:tr>
    </w:tbl>
    <w:p>
      <w:pPr>
        <w:pStyle w:val="Heading1"/>
        <w:spacing w:line="360" w:lineRule="auto" w:before="320" w:after="160"/>
        <w:ind w:firstLine="482"/>
        <w:jc w:val="both"/>
      </w:pPr>
      <w:r>
        <w:rPr>
          <w:rFonts w:ascii="Times New Roman" w:hAnsi="Times New Roman" w:eastAsia="宋体"/>
          <w:b/>
          <w:color w:val="000000"/>
          <w:sz w:val="32"/>
        </w:rPr>
        <w:t>九、重要声明</w:t>
      </w:r>
    </w:p>
    <w:p>
      <w:pPr>
        <w:spacing w:before="120" w:after="40"/>
      </w:pPr>
      <w:r>
        <w:rPr>
          <w:rFonts w:ascii="Times New Roman" w:hAnsi="Times New Roman" w:eastAsia="宋体"/>
          <w:b/>
          <w:color w:val="000000"/>
          <w:sz w:val="24"/>
        </w:rPr>
        <w:t>1. AI 辅助性质</w:t>
      </w:r>
    </w:p>
    <w:p>
      <w:pPr>
        <w:spacing w:line="360" w:lineRule="auto" w:before="0" w:after="0"/>
        <w:ind w:firstLine="482"/>
        <w:jc w:val="both"/>
      </w:pPr>
      <w:r>
        <w:rPr>
          <w:rFonts w:ascii="Times New Roman" w:hAnsi="Times New Roman" w:eastAsia="宋体"/>
          <w:b w:val="0"/>
          <w:color w:val="000000"/>
          <w:sz w:val="24"/>
        </w:rPr>
        <w:t>本审查报告由 AI 工具辅助生成,基于作者定义的审查清单逐条审查。所有风险分析和修改建议仅供参考,必须由执业律师审核确认后方可作为法律意见使用。本报告不构成法律意见书。</w:t>
      </w:r>
    </w:p>
    <w:p>
      <w:pPr>
        <w:spacing w:before="120" w:after="40"/>
      </w:pPr>
      <w:r>
        <w:rPr>
          <w:rFonts w:ascii="Times New Roman" w:hAnsi="Times New Roman" w:eastAsia="宋体"/>
          <w:b/>
          <w:color w:val="000000"/>
          <w:sz w:val="24"/>
        </w:rPr>
        <w:t>2. 审查时效性</w:t>
      </w:r>
    </w:p>
    <w:p>
      <w:pPr>
        <w:spacing w:line="360" w:lineRule="auto" w:before="0" w:after="0"/>
        <w:ind w:firstLine="482"/>
        <w:jc w:val="both"/>
      </w:pPr>
      <w:r>
        <w:rPr>
          <w:rFonts w:ascii="Times New Roman" w:hAnsi="Times New Roman" w:eastAsia="宋体"/>
          <w:b w:val="0"/>
          <w:color w:val="000000"/>
          <w:sz w:val="24"/>
        </w:rPr>
        <w:t>本报告基于审查日期时的合同文本及当时有效的法律法规。合同文本如有变更(包括附件、补充协议、口头补充约定),需重新审查。法律法规后续变动可能影响本报告的部分结论。</w:t>
      </w:r>
    </w:p>
    <w:p>
      <w:pPr>
        <w:spacing w:before="120" w:after="40"/>
      </w:pPr>
      <w:r>
        <w:rPr>
          <w:rFonts w:ascii="Times New Roman" w:hAnsi="Times New Roman" w:eastAsia="宋体"/>
          <w:b/>
          <w:color w:val="000000"/>
          <w:sz w:val="24"/>
        </w:rPr>
        <w:t>3. 审查范围限制</w:t>
      </w:r>
    </w:p>
    <w:p>
      <w:pPr>
        <w:spacing w:line="360" w:lineRule="auto" w:before="0" w:after="0"/>
        <w:ind w:firstLine="482"/>
        <w:jc w:val="both"/>
      </w:pPr>
      <w:r>
        <w:rPr>
          <w:rFonts w:ascii="Times New Roman" w:hAnsi="Times New Roman" w:eastAsia="宋体"/>
          <w:b w:val="0"/>
          <w:color w:val="000000"/>
          <w:sz w:val="24"/>
        </w:rPr>
        <w:t>本报告仅限于对合同文本本身的审查,不包括合同主体的工商登记、合同背景事实的真实性核实、合同商业条件的合理性评估、合同履行中的实际风险等外部事项。</w:t>
      </w:r>
    </w:p>
    <w:p>
      <w:pPr>
        <w:spacing w:before="120" w:after="40"/>
      </w:pPr>
      <w:r>
        <w:rPr>
          <w:rFonts w:ascii="Times New Roman" w:hAnsi="Times New Roman" w:eastAsia="宋体"/>
          <w:b/>
          <w:color w:val="000000"/>
          <w:sz w:val="24"/>
        </w:rPr>
        <w:t>4. 清单覆盖边界</w:t>
      </w:r>
    </w:p>
    <w:p>
      <w:pPr>
        <w:spacing w:line="360" w:lineRule="auto" w:before="0" w:after="0"/>
        <w:ind w:firstLine="482"/>
        <w:jc w:val="both"/>
      </w:pPr>
      <w:r>
        <w:rPr>
          <w:rFonts w:ascii="Times New Roman" w:hAnsi="Times New Roman" w:eastAsia="宋体"/>
          <w:b w:val="0"/>
          <w:color w:val="000000"/>
          <w:sz w:val="24"/>
        </w:rPr>
        <w:t>本报告基于审查清单 v1.0.0 逐条审查。清单未覆盖的风险可能未被发现。如发现清单外风险,已在第六章"清单外发现"列出。</w:t>
      </w:r>
    </w:p>
    <w:p>
      <w:pPr>
        <w:spacing w:before="120" w:after="40"/>
      </w:pPr>
      <w:r>
        <w:rPr>
          <w:rFonts w:ascii="Times New Roman" w:hAnsi="Times New Roman" w:eastAsia="宋体"/>
          <w:b/>
          <w:color w:val="000000"/>
          <w:sz w:val="24"/>
        </w:rPr>
        <w:t>5. 法条引用说明</w:t>
      </w:r>
    </w:p>
    <w:p>
      <w:pPr>
        <w:spacing w:line="360" w:lineRule="auto" w:before="0" w:after="0"/>
        <w:ind w:firstLine="482"/>
        <w:jc w:val="both"/>
      </w:pPr>
      <w:r>
        <w:rPr>
          <w:rFonts w:ascii="Times New Roman" w:hAnsi="Times New Roman" w:eastAsia="宋体"/>
          <w:b w:val="0"/>
          <w:color w:val="000000"/>
          <w:sz w:val="24"/>
        </w:rPr>
        <w:t>本报告引用的法条已尽力核验,但 AI 工具对法条的记忆可能存在偏差。所有法条引用以该法律的官方发布版本为准。标注[待核实]的法条请律师特别复核。</w:t>
      </w:r>
    </w:p>
    <w:p>
      <w:pPr>
        <w:spacing w:before="120" w:after="40"/>
      </w:pPr>
      <w:r>
        <w:rPr>
          <w:rFonts w:ascii="Times New Roman" w:hAnsi="Times New Roman" w:eastAsia="宋体"/>
          <w:b/>
          <w:color w:val="000000"/>
          <w:sz w:val="24"/>
        </w:rPr>
        <w:t>6. 使用范围限制</w:t>
      </w:r>
    </w:p>
    <w:p>
      <w:pPr>
        <w:spacing w:line="360" w:lineRule="auto" w:before="0" w:after="0"/>
        <w:ind w:firstLine="482"/>
        <w:jc w:val="both"/>
      </w:pPr>
      <w:r>
        <w:rPr>
          <w:rFonts w:ascii="Times New Roman" w:hAnsi="Times New Roman" w:eastAsia="宋体"/>
          <w:b w:val="0"/>
          <w:color w:val="000000"/>
          <w:sz w:val="24"/>
        </w:rPr>
        <w:t>本报告仅供本次审查的委托方及其指定人员使用,未经作者书面同意,不得对外披露、转载或用于除审查委托目的之外的其他用途。</w:t>
      </w:r>
    </w:p>
    <w:p>
      <w:pPr>
        <w:spacing w:before="120" w:after="40"/>
      </w:pPr>
      <w:r>
        <w:rPr>
          <w:rFonts w:ascii="Times New Roman" w:hAnsi="Times New Roman" w:eastAsia="宋体"/>
          <w:b/>
          <w:color w:val="000000"/>
          <w:sz w:val="24"/>
        </w:rPr>
        <w:t>7. 律师独立判断</w:t>
      </w:r>
    </w:p>
    <w:p>
      <w:pPr>
        <w:spacing w:line="360" w:lineRule="auto" w:before="0" w:after="0"/>
        <w:ind w:firstLine="482"/>
        <w:jc w:val="both"/>
      </w:pPr>
      <w:r>
        <w:rPr>
          <w:rFonts w:ascii="Times New Roman" w:hAnsi="Times New Roman" w:eastAsia="宋体"/>
          <w:b w:val="0"/>
          <w:color w:val="000000"/>
          <w:sz w:val="24"/>
        </w:rPr>
        <w:t>本报告的任何结论和建议不替代执业律师在具体案件中的独立判断。律师应根据本次交易的具体背景、当事人的商业诉求、过往交易习惯等综合判断。</w:t>
      </w:r>
    </w:p>
    <w:p>
      <w:pPr>
        <w:spacing w:before="120" w:after="40"/>
      </w:pPr>
      <w:r>
        <w:rPr>
          <w:rFonts w:ascii="Times New Roman" w:hAnsi="Times New Roman" w:eastAsia="宋体"/>
          <w:b/>
          <w:color w:val="000000"/>
          <w:sz w:val="24"/>
        </w:rPr>
        <w:t>8. 合同文本完整性说明</w:t>
      </w:r>
    </w:p>
    <w:p>
      <w:pPr>
        <w:spacing w:line="360" w:lineRule="auto" w:before="0" w:after="0"/>
        <w:ind w:firstLine="482"/>
        <w:jc w:val="both"/>
      </w:pPr>
      <w:r>
        <w:rPr>
          <w:rFonts w:ascii="Times New Roman" w:hAnsi="Times New Roman" w:eastAsia="宋体"/>
          <w:b w:val="0"/>
          <w:color w:val="000000"/>
          <w:sz w:val="24"/>
        </w:rPr>
        <w:t>如合同文本中包含 AI 无法识别的信息(如手写批注、图片签章、扫描页面的模糊文字),可能影响本报告的完整性。审查前应尽量使用可机读的电子版合同文本。</w:t>
      </w:r>
    </w:p>
    <w:p>
      <w:pPr>
        <w:pStyle w:val="Heading1"/>
        <w:spacing w:line="360" w:lineRule="auto" w:before="320" w:after="160"/>
        <w:ind w:firstLine="482"/>
        <w:jc w:val="both"/>
      </w:pPr>
      <w:r>
        <w:rPr>
          <w:rFonts w:ascii="Times New Roman" w:hAnsi="Times New Roman" w:eastAsia="宋体"/>
          <w:b/>
          <w:color w:val="000000"/>
          <w:sz w:val="32"/>
        </w:rPr>
        <w:t>十、附录</w:t>
      </w:r>
    </w:p>
    <w:p>
      <w:pPr>
        <w:pStyle w:val="Heading2"/>
        <w:spacing w:line="360" w:lineRule="auto" w:before="160" w:after="160"/>
        <w:ind w:firstLine="482"/>
        <w:jc w:val="both"/>
      </w:pPr>
      <w:r>
        <w:rPr>
          <w:rFonts w:ascii="Times New Roman" w:hAnsi="Times New Roman" w:eastAsia="宋体"/>
          <w:b/>
          <w:color w:val="000000"/>
          <w:sz w:val="28"/>
        </w:rPr>
        <w:t>附录 A · 审查方法论</w:t>
      </w:r>
    </w:p>
    <w:p>
      <w:pPr>
        <w:spacing w:line="360" w:lineRule="auto" w:before="0" w:after="0"/>
        <w:ind w:firstLine="482"/>
        <w:jc w:val="both"/>
      </w:pPr>
      <w:r>
        <w:rPr>
          <w:rFonts w:ascii="Times New Roman" w:hAnsi="Times New Roman" w:eastAsia="宋体"/>
          <w:b w:val="0"/>
          <w:color w:val="000000"/>
          <w:sz w:val="24"/>
        </w:rPr>
        <w:t>本审查依据以下原则执行:</w:t>
      </w:r>
    </w:p>
    <w:p>
      <w:pPr>
        <w:spacing w:line="360" w:lineRule="auto" w:before="0" w:after="0"/>
        <w:ind w:firstLine="482"/>
        <w:jc w:val="both"/>
      </w:pPr>
      <w:r>
        <w:rPr>
          <w:rFonts w:ascii="Times New Roman" w:hAnsi="Times New Roman" w:eastAsia="宋体"/>
          <w:b w:val="0"/>
          <w:color w:val="000000"/>
          <w:sz w:val="24"/>
        </w:rPr>
        <w:t>(1) 分层结构:按 12 维度分组,逐条检查</w:t>
      </w:r>
    </w:p>
    <w:p>
      <w:pPr>
        <w:spacing w:line="360" w:lineRule="auto" w:before="0" w:after="0"/>
        <w:ind w:firstLine="482"/>
        <w:jc w:val="both"/>
      </w:pPr>
      <w:r>
        <w:rPr>
          <w:rFonts w:ascii="Times New Roman" w:hAnsi="Times New Roman" w:eastAsia="宋体"/>
          <w:b w:val="0"/>
          <w:color w:val="000000"/>
          <w:sz w:val="24"/>
        </w:rPr>
        <w:t>(2) 数字化判断标准:每项检查带明确阈值</w:t>
      </w:r>
    </w:p>
    <w:p>
      <w:pPr>
        <w:spacing w:line="360" w:lineRule="auto" w:before="0" w:after="0"/>
        <w:ind w:firstLine="482"/>
        <w:jc w:val="both"/>
      </w:pPr>
      <w:r>
        <w:rPr>
          <w:rFonts w:ascii="Times New Roman" w:hAnsi="Times New Roman" w:eastAsia="宋体"/>
          <w:b w:val="0"/>
          <w:color w:val="000000"/>
          <w:sz w:val="24"/>
        </w:rPr>
        <w:t>(3) 风险等级预设:清单内已标注默认风险等级,AI 执行而非自行判断</w:t>
      </w:r>
    </w:p>
    <w:p>
      <w:pPr>
        <w:spacing w:line="360" w:lineRule="auto" w:before="0" w:after="0"/>
        <w:ind w:firstLine="482"/>
        <w:jc w:val="both"/>
      </w:pPr>
      <w:r>
        <w:rPr>
          <w:rFonts w:ascii="Times New Roman" w:hAnsi="Times New Roman" w:eastAsia="宋体"/>
          <w:b w:val="0"/>
          <w:color w:val="000000"/>
          <w:sz w:val="24"/>
        </w:rPr>
        <w:t>(4) 合同类型适配:本审查基于标准版清单,如有专用清单可切换</w:t>
      </w:r>
    </w:p>
    <w:p>
      <w:pPr>
        <w:spacing w:line="360" w:lineRule="auto" w:before="0" w:after="0"/>
        <w:ind w:firstLine="482"/>
        <w:jc w:val="both"/>
      </w:pPr>
      <w:r>
        <w:rPr>
          <w:rFonts w:ascii="Times New Roman" w:hAnsi="Times New Roman" w:eastAsia="宋体"/>
          <w:b w:val="0"/>
          <w:color w:val="000000"/>
          <w:sz w:val="24"/>
        </w:rPr>
        <w:t>(5) 规则来源透明:每条发现标注来源(标准清单/Playbook/清单外)</w:t>
      </w:r>
    </w:p>
    <w:p>
      <w:pPr>
        <w:spacing w:line="360" w:lineRule="auto" w:before="0" w:after="0"/>
        <w:ind w:firstLine="482"/>
        <w:jc w:val="both"/>
      </w:pPr>
      <w:r>
        <w:rPr>
          <w:rFonts w:ascii="Times New Roman" w:hAnsi="Times New Roman" w:eastAsia="宋体"/>
          <w:b w:val="0"/>
          <w:color w:val="000000"/>
          <w:sz w:val="24"/>
        </w:rPr>
        <w:t>(6) 精准审查:对关键条款独立重扫一次,对抗大模型注意力涣散</w:t>
      </w:r>
    </w:p>
    <w:p>
      <w:pPr>
        <w:pStyle w:val="Heading2"/>
        <w:spacing w:line="360" w:lineRule="auto" w:before="160" w:after="160"/>
        <w:ind w:firstLine="482"/>
        <w:jc w:val="both"/>
      </w:pPr>
      <w:r>
        <w:rPr>
          <w:rFonts w:ascii="Times New Roman" w:hAnsi="Times New Roman" w:eastAsia="宋体"/>
          <w:b/>
          <w:color w:val="000000"/>
          <w:sz w:val="28"/>
        </w:rPr>
        <w:t>附录 B · 审查清单版本信息</w:t>
      </w:r>
    </w:p>
    <w:p>
      <w:pPr>
        <w:spacing w:line="360" w:lineRule="auto" w:before="0" w:after="0"/>
        <w:jc w:val="both"/>
      </w:pPr>
      <w:r>
        <w:rPr>
          <w:rFonts w:ascii="Times New Roman" w:hAnsi="Times New Roman" w:eastAsia="宋体"/>
          <w:b/>
          <w:color w:val="000000"/>
          <w:sz w:val="24"/>
        </w:rPr>
        <w:t>清单版本:</w:t>
      </w:r>
      <w:r>
        <w:rPr>
          <w:rFonts w:ascii="Times New Roman" w:hAnsi="Times New Roman" w:eastAsia="宋体"/>
          <w:b w:val="0"/>
          <w:color w:val="000000"/>
          <w:sz w:val="24"/>
        </w:rPr>
        <w:t>v1.0.0</w:t>
      </w:r>
    </w:p>
    <w:p>
      <w:pPr>
        <w:spacing w:line="360" w:lineRule="auto" w:before="0" w:after="0"/>
        <w:jc w:val="both"/>
      </w:pPr>
      <w:r>
        <w:rPr>
          <w:rFonts w:ascii="Times New Roman" w:hAnsi="Times New Roman" w:eastAsia="宋体"/>
          <w:b/>
          <w:color w:val="000000"/>
          <w:sz w:val="24"/>
        </w:rPr>
        <w:t>清单总项数:</w:t>
      </w:r>
      <w:r>
        <w:rPr>
          <w:rFonts w:ascii="Times New Roman" w:hAnsi="Times New Roman" w:eastAsia="宋体"/>
          <w:b w:val="0"/>
          <w:color w:val="000000"/>
          <w:sz w:val="24"/>
        </w:rPr>
        <w:t>60</w:t>
      </w:r>
    </w:p>
    <w:p>
      <w:pPr>
        <w:spacing w:line="360" w:lineRule="auto" w:before="0" w:after="0"/>
        <w:jc w:val="both"/>
      </w:pPr>
      <w:r>
        <w:rPr>
          <w:rFonts w:ascii="Times New Roman" w:hAnsi="Times New Roman" w:eastAsia="宋体"/>
          <w:b/>
          <w:color w:val="000000"/>
          <w:sz w:val="24"/>
        </w:rPr>
        <w:t>覆盖维度:</w:t>
      </w:r>
      <w:r>
        <w:rPr>
          <w:rFonts w:ascii="Times New Roman" w:hAnsi="Times New Roman" w:eastAsia="宋体"/>
          <w:b w:val="0"/>
          <w:color w:val="000000"/>
          <w:sz w:val="24"/>
        </w:rPr>
        <w:t>12</w:t>
      </w:r>
    </w:p>
    <w:p>
      <w:pPr>
        <w:spacing w:line="360" w:lineRule="auto" w:before="0" w:after="0"/>
        <w:jc w:val="both"/>
      </w:pPr>
      <w:r>
        <w:rPr>
          <w:rFonts w:ascii="Times New Roman" w:hAnsi="Times New Roman" w:eastAsia="宋体"/>
          <w:b/>
          <w:color w:val="000000"/>
          <w:sz w:val="24"/>
        </w:rPr>
        <w:t>清单作者:</w:t>
      </w:r>
      <w:r>
        <w:rPr>
          <w:rFonts w:ascii="Times New Roman" w:hAnsi="Times New Roman" w:eastAsia="宋体"/>
          <w:b w:val="0"/>
          <w:color w:val="000000"/>
          <w:sz w:val="24"/>
        </w:rPr>
        <w:t>缪奇川律师</w:t>
      </w:r>
    </w:p>
    <w:p>
      <w:pPr>
        <w:spacing w:line="360" w:lineRule="auto" w:before="0" w:after="0"/>
        <w:jc w:val="both"/>
      </w:pPr>
      <w:r>
        <w:rPr>
          <w:rFonts w:ascii="Times New Roman" w:hAnsi="Times New Roman" w:eastAsia="宋体"/>
          <w:b/>
          <w:color w:val="000000"/>
          <w:sz w:val="24"/>
        </w:rPr>
        <w:t>最后更新:</w:t>
      </w:r>
      <w:r>
        <w:rPr>
          <w:rFonts w:ascii="Times New Roman" w:hAnsi="Times New Roman" w:eastAsia="宋体"/>
          <w:b w:val="0"/>
          <w:color w:val="000000"/>
          <w:sz w:val="24"/>
        </w:rPr>
        <w:t>2026-04-17</w:t>
      </w:r>
    </w:p>
    <w:p>
      <w:pPr>
        <w:pStyle w:val="Heading2"/>
        <w:spacing w:line="360" w:lineRule="auto" w:before="160" w:after="160"/>
        <w:ind w:firstLine="482"/>
        <w:jc w:val="both"/>
      </w:pPr>
      <w:r>
        <w:rPr>
          <w:rFonts w:ascii="Times New Roman" w:hAnsi="Times New Roman" w:eastAsia="宋体"/>
          <w:b/>
          <w:color w:val="000000"/>
          <w:sz w:val="28"/>
        </w:rPr>
        <w:t>附录 C · 确认层级说明</w:t>
      </w:r>
    </w:p>
    <w:p>
      <w:pPr>
        <w:spacing w:line="360" w:lineRule="auto" w:before="0" w:after="0"/>
        <w:jc w:val="both"/>
      </w:pPr>
      <w:r>
        <w:rPr>
          <w:rFonts w:ascii="Times New Roman" w:hAnsi="Times New Roman" w:eastAsia="宋体"/>
          <w:b/>
          <w:color w:val="000000"/>
          <w:sz w:val="24"/>
        </w:rPr>
        <w:t>L1 基础级:</w:t>
      </w:r>
      <w:r>
        <w:rPr>
          <w:rFonts w:ascii="Times New Roman" w:hAnsi="Times New Roman" w:eastAsia="宋体"/>
          <w:b w:val="0"/>
          <w:color w:val="000000"/>
          <w:sz w:val="24"/>
        </w:rPr>
        <w:t>AI 识别确定性高,几乎不需要人工复核(如大小写金额不符、错别字)</w:t>
      </w:r>
    </w:p>
    <w:p>
      <w:pPr>
        <w:spacing w:line="360" w:lineRule="auto" w:before="0" w:after="0"/>
        <w:jc w:val="both"/>
      </w:pPr>
      <w:r>
        <w:rPr>
          <w:rFonts w:ascii="Times New Roman" w:hAnsi="Times New Roman" w:eastAsia="宋体"/>
          <w:b/>
          <w:color w:val="000000"/>
          <w:sz w:val="24"/>
        </w:rPr>
        <w:t>L2 中级:</w:t>
      </w:r>
      <w:r>
        <w:rPr>
          <w:rFonts w:ascii="Times New Roman" w:hAnsi="Times New Roman" w:eastAsia="宋体"/>
          <w:b w:val="0"/>
          <w:color w:val="000000"/>
          <w:sz w:val="24"/>
        </w:rPr>
        <w:t>建议人工复核(如条款前后矛盾、程序性权利陷阱)</w:t>
      </w:r>
    </w:p>
    <w:p>
      <w:pPr>
        <w:spacing w:line="360" w:lineRule="auto" w:before="0" w:after="0"/>
        <w:jc w:val="both"/>
      </w:pPr>
      <w:r>
        <w:rPr>
          <w:rFonts w:ascii="Times New Roman" w:hAnsi="Times New Roman" w:eastAsia="宋体"/>
          <w:b/>
          <w:color w:val="000000"/>
          <w:sz w:val="24"/>
        </w:rPr>
        <w:t>L3 高级:</w:t>
      </w:r>
      <w:r>
        <w:rPr>
          <w:rFonts w:ascii="Times New Roman" w:hAnsi="Times New Roman" w:eastAsia="宋体"/>
          <w:b w:val="0"/>
          <w:color w:val="000000"/>
          <w:sz w:val="24"/>
        </w:rPr>
        <w:t>必须人工复核(如违约金合理性、数据合规性)</w:t>
      </w:r>
    </w:p>
    <w:p>
      <w:pPr>
        <w:pStyle w:val="Heading2"/>
        <w:spacing w:line="360" w:lineRule="auto" w:before="160" w:after="160"/>
        <w:ind w:firstLine="482"/>
        <w:jc w:val="both"/>
      </w:pPr>
      <w:r>
        <w:rPr>
          <w:rFonts w:ascii="Times New Roman" w:hAnsi="Times New Roman" w:eastAsia="宋体"/>
          <w:b/>
          <w:color w:val="000000"/>
          <w:sz w:val="28"/>
        </w:rPr>
        <w:t>附录 D · 规则来源说明</w:t>
      </w:r>
    </w:p>
    <w:p>
      <w:pPr>
        <w:spacing w:line="360" w:lineRule="auto" w:before="0" w:after="0"/>
        <w:jc w:val="both"/>
      </w:pPr>
      <w:r>
        <w:rPr>
          <w:rFonts w:ascii="Times New Roman" w:hAnsi="Times New Roman" w:eastAsia="宋体"/>
          <w:b/>
          <w:color w:val="000000"/>
          <w:sz w:val="24"/>
        </w:rPr>
        <w:t>标准清单:</w:t>
      </w:r>
      <w:r>
        <w:rPr>
          <w:rFonts w:ascii="Times New Roman" w:hAnsi="Times New Roman" w:eastAsia="宋体"/>
          <w:b w:val="0"/>
          <w:color w:val="000000"/>
          <w:sz w:val="24"/>
        </w:rPr>
        <w:t>由 checklist.md 中 C001-C060 的某一项触发,通用律师共识</w:t>
      </w:r>
    </w:p>
    <w:p>
      <w:pPr>
        <w:spacing w:line="360" w:lineRule="auto" w:before="0" w:after="0"/>
        <w:jc w:val="both"/>
      </w:pPr>
      <w:r>
        <w:rPr>
          <w:rFonts w:ascii="Times New Roman" w:hAnsi="Times New Roman" w:eastAsia="宋体"/>
          <w:b/>
          <w:color w:val="000000"/>
          <w:sz w:val="24"/>
        </w:rPr>
        <w:t>Playbook 覆盖:</w:t>
      </w:r>
      <w:r>
        <w:rPr>
          <w:rFonts w:ascii="Times New Roman" w:hAnsi="Times New Roman" w:eastAsia="宋体"/>
          <w:b w:val="0"/>
          <w:color w:val="000000"/>
          <w:sz w:val="24"/>
        </w:rPr>
        <w:t>由组织立场手册 playbook 触发,覆盖了 checklist 的默认判断</w:t>
      </w:r>
    </w:p>
    <w:p>
      <w:pPr>
        <w:spacing w:line="360" w:lineRule="auto" w:before="0" w:after="0"/>
        <w:jc w:val="both"/>
      </w:pPr>
      <w:r>
        <w:rPr>
          <w:rFonts w:ascii="Times New Roman" w:hAnsi="Times New Roman" w:eastAsia="宋体"/>
          <w:b/>
          <w:color w:val="000000"/>
          <w:sz w:val="24"/>
        </w:rPr>
        <w:t>清单外发现:</w:t>
      </w:r>
      <w:r>
        <w:rPr>
          <w:rFonts w:ascii="Times New Roman" w:hAnsi="Times New Roman" w:eastAsia="宋体"/>
          <w:b w:val="0"/>
          <w:color w:val="000000"/>
          <w:sz w:val="24"/>
        </w:rPr>
        <w:t>不属于前两类,由 AI 在审查过程中自主发现的问题</w:t>
      </w:r>
    </w:p>
    <w:p>
      <w:pPr>
        <w:pStyle w:val="Heading2"/>
        <w:spacing w:line="360" w:lineRule="auto" w:before="160" w:after="160"/>
        <w:ind w:firstLine="482"/>
        <w:jc w:val="both"/>
      </w:pPr>
      <w:r>
        <w:rPr>
          <w:rFonts w:ascii="Times New Roman" w:hAnsi="Times New Roman" w:eastAsia="宋体"/>
          <w:b/>
          <w:color w:val="000000"/>
          <w:sz w:val="28"/>
        </w:rPr>
        <w:t>附录 E · 术语表</w:t>
      </w:r>
    </w:p>
    <w:tbl>
      <w:tblPr>
        <w:tblW w:type="auto" w:w="0"/>
        <w:jc w:val="center"/>
        <w:tblLook w:firstColumn="1" w:firstRow="1" w:lastColumn="0" w:lastRow="0" w:noHBand="0" w:noVBand="1" w:val="04A0"/>
      </w:tblPr>
      <w:tblGrid>
        <w:gridCol w:w="4323"/>
        <w:gridCol w:w="4323"/>
      </w:tblGrid>
      <w:tr>
        <w:tc>
          <w:tcPr>
            <w:tcW w:type="dxa" w:w="2268"/>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color w:val="000000"/>
                <w:sz w:val="21"/>
              </w:rPr>
              <w:t>术语 / 简称</w:t>
            </w:r>
          </w:p>
        </w:tc>
        <w:tc>
          <w:tcPr>
            <w:tcW w:type="dxa" w:w="6803"/>
            <w:shd w:val="clear" w:color="auto" w:fill="F1F5F9"/>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color w:val="000000"/>
                <w:sz w:val="21"/>
              </w:rPr>
              <w:t>含义</w:t>
            </w:r>
          </w:p>
        </w:tc>
      </w:tr>
      <w:tr>
        <w:tc>
          <w:tcPr>
            <w:tcW w:type="dxa" w:w="4323"/>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color w:val="000000"/>
                <w:sz w:val="21"/>
              </w:rPr>
              <w:t>Cap</w:t>
            </w:r>
          </w:p>
        </w:tc>
        <w:tc>
          <w:tcPr>
            <w:tcW w:type="dxa" w:w="4323"/>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1"/>
              </w:rPr>
              <w:t>责任上限(Liability Cap),指合同违约损失赔偿的总额上限</w:t>
            </w:r>
          </w:p>
        </w:tc>
      </w:tr>
      <w:tr>
        <w:tc>
          <w:tcPr>
            <w:tcW w:type="dxa" w:w="4323"/>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60" w:after="60" w:line="276" w:lineRule="auto"/>
              <w:ind w:firstLine="0"/>
              <w:jc w:val="center"/>
            </w:pPr>
            <w:r>
              <w:rPr>
                <w:rFonts w:ascii="Times New Roman" w:hAnsi="Times New Roman" w:eastAsia="宋体"/>
                <w:b/>
                <w:color w:val="000000"/>
                <w:sz w:val="21"/>
              </w:rPr>
              <w:t>DPA</w:t>
            </w:r>
          </w:p>
        </w:tc>
        <w:tc>
          <w:tcPr>
            <w:tcW w:type="dxa" w:w="4323"/>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60" w:after="60" w:line="276" w:lineRule="auto"/>
              <w:ind w:firstLine="0"/>
            </w:pPr>
            <w:r>
              <w:rPr>
                <w:rFonts w:ascii="Times New Roman" w:hAnsi="Times New Roman" w:eastAsia="宋体"/>
                <w:b w:val="0"/>
                <w:color w:val="000000"/>
                <w:sz w:val="21"/>
              </w:rPr>
              <w:t>数据处理协议(Data Processing Agreement),通常作为涉个人信息合同的附件</w:t>
            </w:r>
          </w:p>
        </w:tc>
      </w:tr>
      <w:tr>
        <w:tc>
          <w:tcPr>
            <w:tcW w:type="dxa" w:w="4323"/>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color w:val="000000"/>
                <w:sz w:val="21"/>
              </w:rPr>
              <w:t>LPR</w:t>
            </w:r>
          </w:p>
        </w:tc>
        <w:tc>
          <w:tcPr>
            <w:tcW w:type="dxa" w:w="4323"/>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1"/>
              </w:rPr>
              <w:t>贷款市场报价利率(Loan Prime Rate),中国人民银行发布</w:t>
            </w:r>
          </w:p>
        </w:tc>
      </w:tr>
      <w:tr>
        <w:tc>
          <w:tcPr>
            <w:tcW w:type="dxa" w:w="4323"/>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60" w:after="60" w:line="276" w:lineRule="auto"/>
              <w:ind w:firstLine="0"/>
              <w:jc w:val="center"/>
            </w:pPr>
            <w:r>
              <w:rPr>
                <w:rFonts w:ascii="Times New Roman" w:hAnsi="Times New Roman" w:eastAsia="宋体"/>
                <w:b/>
                <w:color w:val="000000"/>
                <w:sz w:val="21"/>
              </w:rPr>
              <w:t>IP</w:t>
            </w:r>
          </w:p>
        </w:tc>
        <w:tc>
          <w:tcPr>
            <w:tcW w:type="dxa" w:w="4323"/>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60" w:after="60" w:line="276" w:lineRule="auto"/>
              <w:ind w:firstLine="0"/>
            </w:pPr>
            <w:r>
              <w:rPr>
                <w:rFonts w:ascii="Times New Roman" w:hAnsi="Times New Roman" w:eastAsia="宋体"/>
                <w:b w:val="0"/>
                <w:color w:val="000000"/>
                <w:sz w:val="21"/>
              </w:rPr>
              <w:t>知识产权(Intellectual Property)</w:t>
            </w:r>
          </w:p>
        </w:tc>
      </w:tr>
      <w:tr>
        <w:tc>
          <w:tcPr>
            <w:tcW w:type="dxa" w:w="4323"/>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jc w:val="center"/>
            </w:pPr>
            <w:r>
              <w:rPr>
                <w:rFonts w:ascii="Times New Roman" w:hAnsi="Times New Roman" w:eastAsia="宋体"/>
                <w:b/>
                <w:color w:val="000000"/>
                <w:sz w:val="21"/>
              </w:rPr>
              <w:t>SLA</w:t>
            </w:r>
          </w:p>
        </w:tc>
        <w:tc>
          <w:tcPr>
            <w:tcW w:type="dxa" w:w="4323"/>
            <w:tcBorders>
              <w:top w:val="single" w:sz="4" w:space="0" w:color="BFBFBF"/>
              <w:left w:val="single" w:sz="4" w:space="0" w:color="BFBFBF"/>
              <w:bottom w:val="single" w:sz="4" w:space="0" w:color="BFBFBF"/>
              <w:right w:val="single" w:sz="4" w:space="0" w:color="BFBFBF"/>
            </w:tcBorders>
            <w:vAlign w:val="center"/>
          </w:tcPr>
          <w:p>
            <w:pPr>
              <w:spacing w:before="60" w:after="60" w:line="276" w:lineRule="auto"/>
              <w:ind w:firstLine="0"/>
            </w:pPr>
            <w:r>
              <w:rPr>
                <w:rFonts w:ascii="Times New Roman" w:hAnsi="Times New Roman" w:eastAsia="宋体"/>
                <w:b w:val="0"/>
                <w:color w:val="000000"/>
                <w:sz w:val="21"/>
              </w:rPr>
              <w:t>服务水平协议(Service Level Agreement)</w:t>
            </w:r>
          </w:p>
        </w:tc>
      </w:tr>
      <w:tr>
        <w:tc>
          <w:tcPr>
            <w:tcW w:type="dxa" w:w="4323"/>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60" w:after="60" w:line="276" w:lineRule="auto"/>
              <w:ind w:firstLine="0"/>
              <w:jc w:val="center"/>
            </w:pPr>
            <w:r>
              <w:rPr>
                <w:rFonts w:ascii="Times New Roman" w:hAnsi="Times New Roman" w:eastAsia="宋体"/>
                <w:b/>
                <w:color w:val="000000"/>
                <w:sz w:val="21"/>
              </w:rPr>
              <w:t>NDA</w:t>
            </w:r>
          </w:p>
        </w:tc>
        <w:tc>
          <w:tcPr>
            <w:tcW w:type="dxa" w:w="4323"/>
            <w:tcBorders>
              <w:top w:val="single" w:sz="4" w:space="0" w:color="BFBFBF"/>
              <w:left w:val="single" w:sz="4" w:space="0" w:color="BFBFBF"/>
              <w:bottom w:val="single" w:sz="4" w:space="0" w:color="BFBFBF"/>
              <w:right w:val="single" w:sz="4" w:space="0" w:color="BFBFBF"/>
            </w:tcBorders>
            <w:shd w:val="clear" w:color="auto" w:fill="F8FAFC"/>
            <w:vAlign w:val="center"/>
          </w:tcPr>
          <w:p>
            <w:pPr>
              <w:spacing w:before="60" w:after="60" w:line="276" w:lineRule="auto"/>
              <w:ind w:firstLine="0"/>
            </w:pPr>
            <w:r>
              <w:rPr>
                <w:rFonts w:ascii="Times New Roman" w:hAnsi="Times New Roman" w:eastAsia="宋体"/>
                <w:b w:val="0"/>
                <w:color w:val="000000"/>
                <w:sz w:val="21"/>
              </w:rPr>
              <w:t>保密协议(Non-Disclosure Agreement)</w:t>
            </w:r>
          </w:p>
        </w:tc>
      </w:tr>
    </w:tbl>
    <w:p/>
    <w:p>
      <w:pPr>
        <w:jc w:val="center"/>
      </w:pPr>
      <w:r>
        <w:rPr>
          <w:rFonts w:ascii="Times New Roman" w:hAnsi="Times New Roman" w:eastAsia="宋体"/>
          <w:b w:val="0"/>
          <w:color w:val="000000"/>
          <w:sz w:val="21"/>
        </w:rPr>
        <w:t>LEGAL AI TOOLMAKER · 法律工具制造者 | 缪奇川律师 出品  |  Skill 版本 v2.0.0</w:t>
      </w:r>
    </w:p>
    <w:sectPr w:rsidR="00FC693F" w:rsidRPr="0006063C" w:rsidSect="00034616">
      <w:headerReference w:type="default" r:id="rId9"/>
      <w:footerReference w:type="default" r:id="rId10"/>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eastAsia="宋体"/>
        <w:b w:val="0"/>
        <w:color w:val="000000"/>
        <w:sz w:val="18"/>
      </w:rPr>
      <w:t>审查编号:MQC-REV-20260417-001</w:t>
    </w:r>
    <w:r>
      <w:tab/>
      <w:tab/>
    </w:r>
    <w:r>
      <w:rPr>
        <w:rFonts w:ascii="Times New Roman" w:hAnsi="Times New Roman" w:eastAsia="宋体"/>
        <w:b w:val="0"/>
        <w:color w:val="000000"/>
        <w:sz w:val="18"/>
      </w:rPr>
      <w:t xml:space="preserve">第 </w:t>
    </w:r>
    <w:r>
      <w:rPr>
        <w:rFonts w:ascii="Times New Roman" w:hAnsi="Times New Roman" w:eastAsia="宋体"/>
        <w:b w:val="0"/>
        <w:color w:val="000000"/>
        <w:sz w:val="18"/>
      </w:rPr>
      <w:fldChar w:fldCharType="begin"/>
      <w:instrText>PAGE</w:instrText>
      <w:fldChar w:fldCharType="end"/>
    </w:r>
    <w:r>
      <w:rPr>
        <w:rFonts w:ascii="Times New Roman" w:hAnsi="Times New Roman" w:eastAsia="宋体"/>
        <w:b w:val="0"/>
        <w:color w:val="000000"/>
        <w:sz w:val="18"/>
      </w:rPr>
      <w:t xml:space="preserve"> 页 / 共 </w:t>
    </w:r>
    <w:r>
      <w:rPr>
        <w:rFonts w:ascii="Times New Roman" w:hAnsi="Times New Roman" w:eastAsia="宋体"/>
        <w:b w:val="0"/>
        <w:color w:val="000000"/>
        <w:sz w:val="18"/>
      </w:rPr>
      <w:fldChar w:fldCharType="begin"/>
      <w:instrText>NUMPAGES</w:instrText>
      <w:fldChar w:fldCharType="end"/>
    </w:r>
    <w:r>
      <w:rPr>
        <w:rFonts w:ascii="Times New Roman" w:hAnsi="Times New Roman" w:eastAsia="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eastAsia="宋体"/>
        <w:b w:val="0"/>
        <w:color w:val="000000"/>
        <w:sz w:val="18"/>
      </w:rPr>
      <w:t>技术服务合同  ·  合同审查报告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82"/>
      <w:jc w:val="both"/>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