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FC377" w14:textId="0B667844" w:rsidR="0031710B" w:rsidRDefault="0031710B" w:rsidP="00025E4F">
      <w:pPr>
        <w:pBdr>
          <w:bottom w:val="single" w:sz="12" w:space="1" w:color="1F6E8C"/>
        </w:pBdr>
        <w:spacing w:after="260" w:line="276" w:lineRule="auto"/>
        <w:jc w:val="both"/>
      </w:pPr>
    </w:p>
    <w:tbl>
      <w:tblPr>
        <w:tblW w:w="9525" w:type="dxa"/>
        <w:tblLook w:val="04A0" w:firstRow="1" w:lastRow="0" w:firstColumn="1" w:lastColumn="0" w:noHBand="0" w:noVBand="1"/>
      </w:tblPr>
      <w:tblGrid>
        <w:gridCol w:w="9525"/>
      </w:tblGrid>
      <w:tr w:rsidR="423A7555" w14:paraId="6F216491" w14:textId="77777777" w:rsidTr="6DAD5ECA">
        <w:trPr>
          <w:trHeight w:val="300"/>
        </w:trPr>
        <w:tc>
          <w:tcPr>
            <w:tcW w:w="9525" w:type="dxa"/>
            <w:tcBorders>
              <w:top w:val="single" w:sz="8" w:space="0" w:color="auto"/>
              <w:left w:val="single" w:sz="8" w:space="0" w:color="auto"/>
              <w:bottom w:val="single" w:sz="8" w:space="0" w:color="auto"/>
              <w:right w:val="single" w:sz="8" w:space="0" w:color="auto"/>
            </w:tcBorders>
            <w:shd w:val="clear" w:color="auto" w:fill="1F6E8C"/>
            <w:tcMar>
              <w:top w:w="100" w:type="dxa"/>
              <w:left w:w="150" w:type="dxa"/>
              <w:bottom w:w="100" w:type="dxa"/>
              <w:right w:w="150" w:type="dxa"/>
            </w:tcMar>
          </w:tcPr>
          <w:p w14:paraId="39BCF891" w14:textId="5ED22EC8" w:rsidR="423A7555" w:rsidRDefault="423A7555" w:rsidP="423A7555">
            <w:pPr>
              <w:spacing w:line="276" w:lineRule="auto"/>
            </w:pPr>
            <w:r w:rsidRPr="423A7555">
              <w:rPr>
                <w:rFonts w:ascii="Aptos" w:eastAsia="Aptos" w:hAnsi="Aptos" w:cs="Aptos"/>
                <w:b/>
                <w:bCs/>
                <w:color w:val="FFFFFF" w:themeColor="background1"/>
                <w:sz w:val="22"/>
                <w:szCs w:val="22"/>
              </w:rPr>
              <w:t>1. DATOS GENERALES DEL PROYECTO</w:t>
            </w:r>
          </w:p>
        </w:tc>
      </w:tr>
    </w:tbl>
    <w:p w14:paraId="6D7DFC4A" w14:textId="06C8EB66" w:rsidR="0031710B" w:rsidRDefault="423A7555" w:rsidP="423A7555">
      <w:pPr>
        <w:spacing w:after="12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80"/>
      </w:tblGrid>
      <w:tr w:rsidR="423A7555" w14:paraId="60A19BD3" w14:textId="77777777" w:rsidTr="423A7555">
        <w:trPr>
          <w:trHeight w:val="300"/>
        </w:trPr>
        <w:tc>
          <w:tcPr>
            <w:tcW w:w="10245" w:type="dxa"/>
            <w:tcBorders>
              <w:top w:val="nil"/>
              <w:left w:val="nil"/>
              <w:bottom w:val="single" w:sz="8" w:space="0" w:color="5FA8C7"/>
              <w:right w:val="nil"/>
            </w:tcBorders>
            <w:tcMar>
              <w:top w:w="40" w:type="dxa"/>
              <w:left w:w="40" w:type="dxa"/>
              <w:bottom w:w="100" w:type="dxa"/>
              <w:right w:w="40" w:type="dxa"/>
            </w:tcMar>
          </w:tcPr>
          <w:p w14:paraId="10D72828" w14:textId="5E344742" w:rsidR="423A7555" w:rsidRDefault="423A7555" w:rsidP="423A7555">
            <w:pPr>
              <w:spacing w:line="276" w:lineRule="auto"/>
            </w:pPr>
            <w:r>
              <w:rPr>
                <w:rFonts w:ascii="Aptos" w:hAnsi="Aptos"/>
                <w:b w:val="0"/>
                <w:sz w:val="20"/>
              </w:rPr>
              <w:t>Nombre del proyecto: CienaRed: sistema integrado de monitoreo ambiental que articula conocimiento tradicional y tecnología para la toma de decisiones en la pesca artesanal de la Ciénaga Grande de Santa Marta</w:t>
            </w:r>
          </w:p>
        </w:tc>
      </w:tr>
    </w:tbl>
    <w:p w14:paraId="657D2AA4" w14:textId="77777777" w:rsidR="00025E4F" w:rsidRDefault="423A7555" w:rsidP="00025E4F">
      <w:pPr>
        <w:spacing w:after="180" w:line="276" w:lineRule="auto"/>
        <w:jc w:val="both"/>
        <w:rPr>
          <w:rFonts w:ascii="Aptos" w:eastAsia="Aptos" w:hAnsi="Aptos" w:cs="Aptos"/>
          <w:lang w:val="es-ES"/>
        </w:rPr>
      </w:pPr>
      <w:r w:rsidRPr="423A7555">
        <w:rPr>
          <w:rFonts w:ascii="Aptos" w:eastAsia="Aptos" w:hAnsi="Aptos" w:cs="Aptos"/>
          <w:lang w:val="es-ES"/>
        </w:rPr>
        <w:t xml:space="preserve"> </w:t>
      </w:r>
    </w:p>
    <w:p w14:paraId="687B1426" w14:textId="6D978C1A" w:rsidR="0031710B" w:rsidRDefault="008665C6" w:rsidP="00025E4F">
      <w:pPr>
        <w:spacing w:after="180" w:line="276" w:lineRule="auto"/>
        <w:jc w:val="both"/>
      </w:pPr>
      <w:r>
        <w:rPr>
          <w:rFonts w:ascii="Aptos" w:eastAsia="Aptos" w:hAnsi="Aptos" w:cs="Aptos"/>
          <w:b/>
          <w:bCs/>
          <w:color w:val="0B3D5C"/>
          <w:sz w:val="21"/>
          <w:szCs w:val="21"/>
          <w:lang w:val="es-ES"/>
        </w:rPr>
        <w:t>Información de los integrantes</w:t>
      </w:r>
      <w:r w:rsidR="423A7555" w:rsidRPr="423A7555">
        <w:rPr>
          <w:rFonts w:ascii="Aptos" w:eastAsia="Aptos" w:hAnsi="Aptos" w:cs="Aptos"/>
          <w:b/>
          <w:bCs/>
          <w:color w:val="0B3D5C"/>
          <w:sz w:val="21"/>
          <w:szCs w:val="21"/>
          <w:lang w:val="es-ES"/>
        </w:rPr>
        <w:t>:</w:t>
      </w:r>
    </w:p>
    <w:tbl>
      <w:tblPr>
        <w:tblW w:w="10823" w:type="dxa"/>
        <w:tblInd w:w="-60" w:type="dxa"/>
        <w:tblLayout w:type="fixed"/>
        <w:tblLook w:val="04A0" w:firstRow="1" w:lastRow="0" w:firstColumn="1" w:lastColumn="0" w:noHBand="0" w:noVBand="1"/>
      </w:tblPr>
      <w:tblGrid>
        <w:gridCol w:w="334"/>
        <w:gridCol w:w="4125"/>
        <w:gridCol w:w="1828"/>
        <w:gridCol w:w="1985"/>
        <w:gridCol w:w="2551"/>
      </w:tblGrid>
      <w:tr w:rsidR="008665C6" w14:paraId="6A15FFF4" w14:textId="77777777" w:rsidTr="008665C6">
        <w:trPr>
          <w:trHeight w:val="300"/>
        </w:trPr>
        <w:tc>
          <w:tcPr>
            <w:tcW w:w="334" w:type="dxa"/>
            <w:tcBorders>
              <w:top w:val="single" w:sz="8" w:space="0" w:color="5FA8C7"/>
              <w:left w:val="single" w:sz="8" w:space="0" w:color="5FA8C7"/>
              <w:bottom w:val="single" w:sz="8" w:space="0" w:color="5FA8C7"/>
              <w:right w:val="single" w:sz="8" w:space="0" w:color="5FA8C7"/>
            </w:tcBorders>
            <w:shd w:val="clear" w:color="auto" w:fill="1F6E8C"/>
            <w:tcMar>
              <w:top w:w="80" w:type="dxa"/>
              <w:left w:w="100" w:type="dxa"/>
              <w:bottom w:w="80" w:type="dxa"/>
              <w:right w:w="100" w:type="dxa"/>
            </w:tcMar>
            <w:vAlign w:val="center"/>
          </w:tcPr>
          <w:p w14:paraId="520DBCE5" w14:textId="11F2F0F8" w:rsidR="008665C6" w:rsidRDefault="008665C6" w:rsidP="423A7555">
            <w:pPr>
              <w:spacing w:line="276" w:lineRule="auto"/>
              <w:jc w:val="center"/>
            </w:pPr>
            <w:proofErr w:type="spellStart"/>
            <w:r w:rsidRPr="423A7555">
              <w:rPr>
                <w:rFonts w:ascii="Aptos" w:eastAsia="Aptos" w:hAnsi="Aptos" w:cs="Aptos"/>
                <w:b/>
                <w:bCs/>
                <w:color w:val="FFFFFF" w:themeColor="background1"/>
                <w:sz w:val="19"/>
                <w:szCs w:val="19"/>
              </w:rPr>
              <w:t>N°</w:t>
            </w:r>
            <w:proofErr w:type="spellEnd"/>
          </w:p>
        </w:tc>
        <w:tc>
          <w:tcPr>
            <w:tcW w:w="4125" w:type="dxa"/>
            <w:tcBorders>
              <w:top w:val="single" w:sz="8" w:space="0" w:color="5FA8C7"/>
              <w:left w:val="single" w:sz="8" w:space="0" w:color="5FA8C7"/>
              <w:bottom w:val="single" w:sz="8" w:space="0" w:color="5FA8C7"/>
              <w:right w:val="single" w:sz="8" w:space="0" w:color="5FA8C7"/>
            </w:tcBorders>
            <w:shd w:val="clear" w:color="auto" w:fill="1F6E8C"/>
            <w:tcMar>
              <w:top w:w="80" w:type="dxa"/>
              <w:left w:w="100" w:type="dxa"/>
              <w:bottom w:w="80" w:type="dxa"/>
              <w:right w:w="100" w:type="dxa"/>
            </w:tcMar>
            <w:vAlign w:val="center"/>
          </w:tcPr>
          <w:p w14:paraId="24EF3524" w14:textId="5DDEDA99" w:rsidR="008665C6" w:rsidRDefault="008665C6" w:rsidP="423A7555">
            <w:pPr>
              <w:spacing w:line="276" w:lineRule="auto"/>
            </w:pPr>
            <w:r w:rsidRPr="423A7555">
              <w:rPr>
                <w:rFonts w:ascii="Aptos" w:eastAsia="Aptos" w:hAnsi="Aptos" w:cs="Aptos"/>
                <w:b/>
                <w:bCs/>
                <w:color w:val="FFFFFF" w:themeColor="background1"/>
                <w:sz w:val="19"/>
                <w:szCs w:val="19"/>
              </w:rPr>
              <w:t xml:space="preserve">Nombre completo del </w:t>
            </w:r>
            <w:r>
              <w:rPr>
                <w:rFonts w:ascii="Aptos" w:eastAsia="Aptos" w:hAnsi="Aptos" w:cs="Aptos"/>
                <w:b/>
                <w:bCs/>
                <w:color w:val="FFFFFF" w:themeColor="background1"/>
                <w:sz w:val="19"/>
                <w:szCs w:val="19"/>
              </w:rPr>
              <w:t xml:space="preserve">integrante </w:t>
            </w:r>
          </w:p>
        </w:tc>
        <w:tc>
          <w:tcPr>
            <w:tcW w:w="1828" w:type="dxa"/>
            <w:tcBorders>
              <w:top w:val="single" w:sz="8" w:space="0" w:color="5FA8C7"/>
              <w:left w:val="single" w:sz="8" w:space="0" w:color="5FA8C7"/>
              <w:bottom w:val="single" w:sz="8" w:space="0" w:color="5FA8C7"/>
              <w:right w:val="single" w:sz="8" w:space="0" w:color="5FA8C7"/>
            </w:tcBorders>
            <w:shd w:val="clear" w:color="auto" w:fill="1F6E8C"/>
            <w:tcMar>
              <w:top w:w="80" w:type="dxa"/>
              <w:left w:w="100" w:type="dxa"/>
              <w:bottom w:w="80" w:type="dxa"/>
              <w:right w:w="100" w:type="dxa"/>
            </w:tcMar>
            <w:vAlign w:val="center"/>
          </w:tcPr>
          <w:p w14:paraId="5C6170FF" w14:textId="6AD6C594" w:rsidR="008665C6" w:rsidRDefault="008665C6" w:rsidP="423A7555">
            <w:pPr>
              <w:spacing w:line="276" w:lineRule="auto"/>
            </w:pPr>
            <w:r>
              <w:rPr>
                <w:rFonts w:ascii="Aptos" w:eastAsia="Aptos" w:hAnsi="Aptos" w:cs="Aptos"/>
                <w:b/>
                <w:bCs/>
                <w:color w:val="FFFFFF" w:themeColor="background1"/>
                <w:sz w:val="19"/>
                <w:szCs w:val="19"/>
              </w:rPr>
              <w:t>Estudiante, docente o miembro externo</w:t>
            </w:r>
          </w:p>
        </w:tc>
        <w:tc>
          <w:tcPr>
            <w:tcW w:w="1985" w:type="dxa"/>
            <w:tcBorders>
              <w:top w:val="single" w:sz="8" w:space="0" w:color="5FA8C7"/>
              <w:left w:val="single" w:sz="8" w:space="0" w:color="5FA8C7"/>
              <w:bottom w:val="single" w:sz="8" w:space="0" w:color="5FA8C7"/>
              <w:right w:val="single" w:sz="8" w:space="0" w:color="5FA8C7"/>
            </w:tcBorders>
            <w:shd w:val="clear" w:color="auto" w:fill="1F6E8C"/>
          </w:tcPr>
          <w:p w14:paraId="62A9D17F" w14:textId="750802DB" w:rsidR="008665C6" w:rsidRPr="423A7555" w:rsidRDefault="008665C6" w:rsidP="423A7555">
            <w:pPr>
              <w:spacing w:line="276" w:lineRule="auto"/>
              <w:rPr>
                <w:rFonts w:ascii="Aptos" w:eastAsia="Aptos" w:hAnsi="Aptos" w:cs="Aptos"/>
                <w:b/>
                <w:bCs/>
                <w:color w:val="FFFFFF" w:themeColor="background1"/>
                <w:sz w:val="19"/>
                <w:szCs w:val="19"/>
              </w:rPr>
            </w:pPr>
            <w:r w:rsidRPr="423A7555">
              <w:rPr>
                <w:rFonts w:ascii="Aptos" w:eastAsia="Aptos" w:hAnsi="Aptos" w:cs="Aptos"/>
                <w:b/>
                <w:bCs/>
                <w:color w:val="FFFFFF" w:themeColor="background1"/>
                <w:sz w:val="19"/>
                <w:szCs w:val="19"/>
              </w:rPr>
              <w:t>Código</w:t>
            </w:r>
            <w:r>
              <w:rPr>
                <w:rFonts w:ascii="Aptos" w:eastAsia="Aptos" w:hAnsi="Aptos" w:cs="Aptos"/>
                <w:b/>
                <w:bCs/>
                <w:color w:val="FFFFFF" w:themeColor="background1"/>
                <w:sz w:val="19"/>
                <w:szCs w:val="19"/>
              </w:rPr>
              <w:t xml:space="preserve"> estudiantil o número de cédula de ciudadanía</w:t>
            </w:r>
          </w:p>
        </w:tc>
        <w:tc>
          <w:tcPr>
            <w:tcW w:w="2551" w:type="dxa"/>
            <w:tcBorders>
              <w:top w:val="single" w:sz="8" w:space="0" w:color="5FA8C7"/>
              <w:left w:val="single" w:sz="8" w:space="0" w:color="5FA8C7"/>
              <w:bottom w:val="single" w:sz="8" w:space="0" w:color="5FA8C7"/>
              <w:right w:val="single" w:sz="8" w:space="0" w:color="5FA8C7"/>
            </w:tcBorders>
            <w:shd w:val="clear" w:color="auto" w:fill="1F6E8C"/>
            <w:tcMar>
              <w:top w:w="80" w:type="dxa"/>
              <w:left w:w="100" w:type="dxa"/>
              <w:bottom w:w="80" w:type="dxa"/>
              <w:right w:w="100" w:type="dxa"/>
            </w:tcMar>
            <w:vAlign w:val="center"/>
          </w:tcPr>
          <w:p w14:paraId="29B3D7BD" w14:textId="60871540" w:rsidR="008665C6" w:rsidRDefault="008665C6" w:rsidP="423A7555">
            <w:pPr>
              <w:spacing w:line="276" w:lineRule="auto"/>
            </w:pPr>
            <w:r w:rsidRPr="423A7555">
              <w:rPr>
                <w:rFonts w:ascii="Aptos" w:eastAsia="Aptos" w:hAnsi="Aptos" w:cs="Aptos"/>
                <w:b/>
                <w:bCs/>
                <w:color w:val="FFFFFF" w:themeColor="background1"/>
                <w:sz w:val="19"/>
                <w:szCs w:val="19"/>
              </w:rPr>
              <w:t>Programa académico</w:t>
            </w:r>
            <w:r>
              <w:rPr>
                <w:rFonts w:ascii="Aptos" w:eastAsia="Aptos" w:hAnsi="Aptos" w:cs="Aptos"/>
                <w:b/>
                <w:bCs/>
                <w:color w:val="FFFFFF" w:themeColor="background1"/>
                <w:sz w:val="19"/>
                <w:szCs w:val="19"/>
              </w:rPr>
              <w:t xml:space="preserve"> al que pertenece o Institución que representa</w:t>
            </w:r>
          </w:p>
        </w:tc>
      </w:tr>
      <w:tr w:rsidR="008665C6" w14:paraId="5146ECAF" w14:textId="77777777" w:rsidTr="008665C6">
        <w:trPr>
          <w:trHeight w:val="336"/>
        </w:trPr>
        <w:tc>
          <w:tcPr>
            <w:tcW w:w="334"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vAlign w:val="center"/>
          </w:tcPr>
          <w:p w14:paraId="21CE6694" w14:textId="1D25CD2F" w:rsidR="008665C6" w:rsidRDefault="008665C6" w:rsidP="423A7555">
            <w:pPr>
              <w:spacing w:line="276" w:lineRule="auto"/>
              <w:jc w:val="center"/>
            </w:pPr>
            <w:r w:rsidRPr="423A7555">
              <w:rPr>
                <w:rFonts w:ascii="Aptos" w:eastAsia="Aptos" w:hAnsi="Aptos" w:cs="Aptos"/>
                <w:color w:val="333333"/>
                <w:sz w:val="19"/>
                <w:szCs w:val="19"/>
              </w:rPr>
              <w:t>1</w:t>
            </w:r>
          </w:p>
        </w:tc>
        <w:tc>
          <w:tcPr>
            <w:tcW w:w="4125"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5B360CAB" w14:textId="14A44465" w:rsidR="008665C6" w:rsidRDefault="008665C6" w:rsidP="423A7555">
            <w:pPr>
              <w:spacing w:line="276" w:lineRule="auto"/>
            </w:pPr>
            <w:r>
              <w:rPr>
                <w:b w:val="0"/>
              </w:rPr>
              <w:t>[COMPLETAR]</w:t>
            </w:r>
          </w:p>
        </w:tc>
        <w:tc>
          <w:tcPr>
            <w:tcW w:w="1828"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3A745915" w14:textId="44682587" w:rsidR="008665C6" w:rsidRDefault="008665C6" w:rsidP="423A7555">
            <w:pPr>
              <w:spacing w:line="276" w:lineRule="auto"/>
            </w:pPr>
            <w:r>
              <w:rPr>
                <w:rFonts w:ascii="Aptos" w:hAnsi="Aptos"/>
                <w:b w:val="0"/>
              </w:rPr>
              <w:t>[COMPLETAR]</w:t>
            </w:r>
          </w:p>
        </w:tc>
        <w:tc>
          <w:tcPr>
            <w:tcW w:w="1985" w:type="dxa"/>
            <w:tcBorders>
              <w:top w:val="single" w:sz="8" w:space="0" w:color="5FA8C7"/>
              <w:left w:val="single" w:sz="8" w:space="0" w:color="5FA8C7"/>
              <w:bottom w:val="single" w:sz="8" w:space="0" w:color="5FA8C7"/>
              <w:right w:val="single" w:sz="8" w:space="0" w:color="5FA8C7"/>
            </w:tcBorders>
            <w:shd w:val="clear" w:color="auto" w:fill="FFFFFF" w:themeFill="background1"/>
          </w:tcPr>
          <w:p w14:paraId="78E5C66F" w14:textId="77777777" w:rsidR="008665C6" w:rsidRPr="423A7555" w:rsidRDefault="008665C6" w:rsidP="423A7555">
            <w:pPr>
              <w:spacing w:line="276" w:lineRule="auto"/>
              <w:rPr>
                <w:rFonts w:ascii="Aptos" w:eastAsia="Aptos" w:hAnsi="Aptos" w:cs="Aptos"/>
                <w:color w:val="000000" w:themeColor="text1"/>
              </w:rPr>
            </w:pPr>
            <w:r>
              <w:rPr>
                <w:b w:val="0"/>
              </w:rPr>
              <w:t>[COMPLETAR]</w:t>
            </w:r>
          </w:p>
        </w:tc>
        <w:tc>
          <w:tcPr>
            <w:tcW w:w="2551"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4739EC8A" w14:textId="27D6DCEA" w:rsidR="008665C6" w:rsidRDefault="008665C6" w:rsidP="423A7555">
            <w:pPr>
              <w:spacing w:line="276" w:lineRule="auto"/>
            </w:pPr>
            <w:r>
              <w:rPr>
                <w:rFonts w:ascii="Aptos" w:hAnsi="Aptos"/>
                <w:b w:val="0"/>
              </w:rPr>
              <w:t>[COMPLETAR]</w:t>
            </w:r>
          </w:p>
        </w:tc>
      </w:tr>
      <w:tr w:rsidR="008665C6" w14:paraId="6134DEAC" w14:textId="77777777" w:rsidTr="008665C6">
        <w:trPr>
          <w:trHeight w:val="332"/>
        </w:trPr>
        <w:tc>
          <w:tcPr>
            <w:tcW w:w="334"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vAlign w:val="center"/>
          </w:tcPr>
          <w:p w14:paraId="4858F912" w14:textId="0AC78087" w:rsidR="008665C6" w:rsidRDefault="008665C6" w:rsidP="423A7555">
            <w:pPr>
              <w:spacing w:line="276" w:lineRule="auto"/>
              <w:jc w:val="center"/>
            </w:pPr>
            <w:r w:rsidRPr="423A7555">
              <w:rPr>
                <w:rFonts w:ascii="Aptos" w:eastAsia="Aptos" w:hAnsi="Aptos" w:cs="Aptos"/>
                <w:color w:val="333333"/>
                <w:sz w:val="19"/>
                <w:szCs w:val="19"/>
              </w:rPr>
              <w:t>2</w:t>
            </w:r>
          </w:p>
        </w:tc>
        <w:tc>
          <w:tcPr>
            <w:tcW w:w="4125"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65CFFC15" w14:textId="6CF3C357" w:rsidR="008665C6" w:rsidRDefault="008665C6" w:rsidP="423A7555">
            <w:pPr>
              <w:spacing w:line="276" w:lineRule="auto"/>
            </w:pPr>
            <w:r>
              <w:rPr>
                <w:rFonts w:ascii="Aptos" w:hAnsi="Aptos"/>
                <w:b w:val="0"/>
              </w:rPr>
              <w:t>[COMPLETAR]</w:t>
            </w:r>
          </w:p>
        </w:tc>
        <w:tc>
          <w:tcPr>
            <w:tcW w:w="1828"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586BCC19" w14:textId="2A956B2E" w:rsidR="008665C6" w:rsidRDefault="008665C6" w:rsidP="423A7555">
            <w:pPr>
              <w:spacing w:line="276" w:lineRule="auto"/>
            </w:pPr>
            <w:r>
              <w:rPr>
                <w:rFonts w:ascii="Aptos" w:hAnsi="Aptos"/>
                <w:b w:val="0"/>
              </w:rPr>
              <w:t>[COMPLETAR]</w:t>
            </w:r>
          </w:p>
        </w:tc>
        <w:tc>
          <w:tcPr>
            <w:tcW w:w="1985" w:type="dxa"/>
            <w:tcBorders>
              <w:top w:val="single" w:sz="8" w:space="0" w:color="5FA8C7"/>
              <w:left w:val="single" w:sz="8" w:space="0" w:color="5FA8C7"/>
              <w:bottom w:val="single" w:sz="8" w:space="0" w:color="5FA8C7"/>
              <w:right w:val="single" w:sz="8" w:space="0" w:color="5FA8C7"/>
            </w:tcBorders>
            <w:shd w:val="clear" w:color="auto" w:fill="EFF7FB"/>
          </w:tcPr>
          <w:p w14:paraId="2492DC46" w14:textId="77777777" w:rsidR="008665C6" w:rsidRPr="423A7555" w:rsidRDefault="008665C6" w:rsidP="423A7555">
            <w:pPr>
              <w:spacing w:line="276" w:lineRule="auto"/>
              <w:rPr>
                <w:rFonts w:ascii="Aptos" w:eastAsia="Aptos" w:hAnsi="Aptos" w:cs="Aptos"/>
                <w:color w:val="000000" w:themeColor="text1"/>
              </w:rPr>
            </w:pPr>
            <w:r>
              <w:rPr>
                <w:b w:val="0"/>
              </w:rPr>
              <w:t>[COMPLETAR]</w:t>
            </w:r>
          </w:p>
        </w:tc>
        <w:tc>
          <w:tcPr>
            <w:tcW w:w="2551"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73F91069" w14:textId="21FA90D4" w:rsidR="008665C6" w:rsidRDefault="008665C6" w:rsidP="423A7555">
            <w:pPr>
              <w:spacing w:line="276" w:lineRule="auto"/>
            </w:pPr>
            <w:r>
              <w:rPr>
                <w:rFonts w:ascii="Aptos" w:hAnsi="Aptos"/>
                <w:b w:val="0"/>
              </w:rPr>
              <w:t>[COMPLETAR]</w:t>
            </w:r>
          </w:p>
        </w:tc>
      </w:tr>
      <w:tr w:rsidR="008665C6" w14:paraId="26895904" w14:textId="77777777" w:rsidTr="008665C6">
        <w:trPr>
          <w:trHeight w:val="300"/>
        </w:trPr>
        <w:tc>
          <w:tcPr>
            <w:tcW w:w="334"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vAlign w:val="center"/>
          </w:tcPr>
          <w:p w14:paraId="3C71B9B0" w14:textId="25F576F6" w:rsidR="008665C6" w:rsidRDefault="008665C6" w:rsidP="423A7555">
            <w:pPr>
              <w:spacing w:line="276" w:lineRule="auto"/>
              <w:jc w:val="center"/>
            </w:pPr>
            <w:r w:rsidRPr="423A7555">
              <w:rPr>
                <w:rFonts w:ascii="Aptos" w:eastAsia="Aptos" w:hAnsi="Aptos" w:cs="Aptos"/>
                <w:color w:val="333333"/>
                <w:sz w:val="19"/>
                <w:szCs w:val="19"/>
              </w:rPr>
              <w:t>3</w:t>
            </w:r>
          </w:p>
        </w:tc>
        <w:tc>
          <w:tcPr>
            <w:tcW w:w="4125"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01836491" w14:textId="29876391" w:rsidR="008665C6" w:rsidRDefault="008665C6" w:rsidP="423A7555">
            <w:pPr>
              <w:spacing w:line="276" w:lineRule="auto"/>
            </w:pPr>
            <w:r>
              <w:rPr>
                <w:rFonts w:ascii="Aptos" w:hAnsi="Aptos"/>
                <w:b w:val="0"/>
              </w:rPr>
              <w:t>[COMPLETAR]</w:t>
            </w:r>
          </w:p>
        </w:tc>
        <w:tc>
          <w:tcPr>
            <w:tcW w:w="1828"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4D66738A" w14:textId="5BF92B55" w:rsidR="008665C6" w:rsidRDefault="008665C6" w:rsidP="423A7555">
            <w:pPr>
              <w:spacing w:line="276" w:lineRule="auto"/>
            </w:pPr>
            <w:r>
              <w:rPr>
                <w:rFonts w:ascii="Aptos" w:hAnsi="Aptos"/>
                <w:b w:val="0"/>
              </w:rPr>
              <w:t>[COMPLETAR]</w:t>
            </w:r>
          </w:p>
        </w:tc>
        <w:tc>
          <w:tcPr>
            <w:tcW w:w="1985" w:type="dxa"/>
            <w:tcBorders>
              <w:top w:val="single" w:sz="8" w:space="0" w:color="5FA8C7"/>
              <w:left w:val="single" w:sz="8" w:space="0" w:color="5FA8C7"/>
              <w:bottom w:val="single" w:sz="8" w:space="0" w:color="5FA8C7"/>
              <w:right w:val="single" w:sz="8" w:space="0" w:color="5FA8C7"/>
            </w:tcBorders>
            <w:shd w:val="clear" w:color="auto" w:fill="FFFFFF" w:themeFill="background1"/>
          </w:tcPr>
          <w:p w14:paraId="2FB830F1" w14:textId="77777777" w:rsidR="008665C6" w:rsidRPr="423A7555" w:rsidRDefault="008665C6" w:rsidP="423A7555">
            <w:pPr>
              <w:spacing w:line="276" w:lineRule="auto"/>
              <w:rPr>
                <w:rFonts w:ascii="Aptos" w:eastAsia="Aptos" w:hAnsi="Aptos" w:cs="Aptos"/>
                <w:color w:val="000000" w:themeColor="text1"/>
              </w:rPr>
            </w:pPr>
            <w:r>
              <w:rPr>
                <w:b w:val="0"/>
              </w:rPr>
              <w:t>[COMPLETAR]</w:t>
            </w:r>
          </w:p>
        </w:tc>
        <w:tc>
          <w:tcPr>
            <w:tcW w:w="2551"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68381AD1" w14:textId="3119394E" w:rsidR="008665C6" w:rsidRDefault="008665C6" w:rsidP="423A7555">
            <w:pPr>
              <w:spacing w:line="276" w:lineRule="auto"/>
            </w:pPr>
            <w:r>
              <w:rPr>
                <w:rFonts w:ascii="Aptos" w:hAnsi="Aptos"/>
                <w:b w:val="0"/>
              </w:rPr>
              <w:t>[COMPLETAR]</w:t>
            </w:r>
          </w:p>
        </w:tc>
      </w:tr>
      <w:tr w:rsidR="008665C6" w14:paraId="4F6BFEED" w14:textId="77777777" w:rsidTr="008665C6">
        <w:trPr>
          <w:trHeight w:val="300"/>
        </w:trPr>
        <w:tc>
          <w:tcPr>
            <w:tcW w:w="334"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vAlign w:val="center"/>
          </w:tcPr>
          <w:p w14:paraId="4C3314EB" w14:textId="5E434E62" w:rsidR="008665C6" w:rsidRDefault="008665C6" w:rsidP="423A7555">
            <w:pPr>
              <w:spacing w:line="276" w:lineRule="auto"/>
              <w:jc w:val="center"/>
            </w:pPr>
            <w:r w:rsidRPr="423A7555">
              <w:rPr>
                <w:rFonts w:ascii="Aptos" w:eastAsia="Aptos" w:hAnsi="Aptos" w:cs="Aptos"/>
                <w:color w:val="333333"/>
                <w:sz w:val="19"/>
                <w:szCs w:val="19"/>
              </w:rPr>
              <w:t>4</w:t>
            </w:r>
          </w:p>
        </w:tc>
        <w:tc>
          <w:tcPr>
            <w:tcW w:w="4125"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6C9674EB" w14:textId="72AAF943" w:rsidR="008665C6" w:rsidRDefault="008665C6" w:rsidP="423A7555">
            <w:pPr>
              <w:spacing w:line="276" w:lineRule="auto"/>
            </w:pPr>
            <w:r>
              <w:rPr>
                <w:rFonts w:ascii="Aptos" w:hAnsi="Aptos"/>
                <w:b w:val="0"/>
              </w:rPr>
              <w:t>[COMPLETAR]</w:t>
            </w:r>
          </w:p>
        </w:tc>
        <w:tc>
          <w:tcPr>
            <w:tcW w:w="1828"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66F6DE1E" w14:textId="7CD6F2D2" w:rsidR="008665C6" w:rsidRDefault="008665C6" w:rsidP="423A7555">
            <w:pPr>
              <w:spacing w:line="276" w:lineRule="auto"/>
            </w:pPr>
            <w:r>
              <w:rPr>
                <w:rFonts w:ascii="Aptos" w:hAnsi="Aptos"/>
                <w:b w:val="0"/>
              </w:rPr>
              <w:t>[COMPLETAR]</w:t>
            </w:r>
          </w:p>
        </w:tc>
        <w:tc>
          <w:tcPr>
            <w:tcW w:w="1985" w:type="dxa"/>
            <w:tcBorders>
              <w:top w:val="single" w:sz="8" w:space="0" w:color="5FA8C7"/>
              <w:left w:val="single" w:sz="8" w:space="0" w:color="5FA8C7"/>
              <w:bottom w:val="single" w:sz="8" w:space="0" w:color="5FA8C7"/>
              <w:right w:val="single" w:sz="8" w:space="0" w:color="5FA8C7"/>
            </w:tcBorders>
            <w:shd w:val="clear" w:color="auto" w:fill="EFF7FB"/>
          </w:tcPr>
          <w:p w14:paraId="7F72C8FA" w14:textId="77777777" w:rsidR="008665C6" w:rsidRPr="6DAD5ECA" w:rsidRDefault="008665C6" w:rsidP="6DAD5ECA">
            <w:pPr>
              <w:spacing w:line="276" w:lineRule="auto"/>
              <w:rPr>
                <w:rFonts w:ascii="Aptos" w:eastAsia="Aptos" w:hAnsi="Aptos" w:cs="Aptos"/>
                <w:color w:val="000000" w:themeColor="text1"/>
              </w:rPr>
            </w:pPr>
            <w:r>
              <w:rPr>
                <w:b w:val="0"/>
              </w:rPr>
              <w:t>[COMPLETAR]</w:t>
            </w:r>
          </w:p>
        </w:tc>
        <w:tc>
          <w:tcPr>
            <w:tcW w:w="2551"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6C46767E" w14:textId="483A4B97" w:rsidR="008665C6" w:rsidRDefault="008665C6" w:rsidP="6DAD5ECA">
            <w:pPr>
              <w:spacing w:line="276" w:lineRule="auto"/>
              <w:rPr>
                <w:rFonts w:ascii="Aptos" w:eastAsia="Aptos" w:hAnsi="Aptos" w:cs="Aptos"/>
                <w:color w:val="000000" w:themeColor="text1"/>
              </w:rPr>
            </w:pPr>
            <w:r>
              <w:rPr>
                <w:rFonts w:ascii="Aptos" w:hAnsi="Aptos"/>
                <w:b w:val="0"/>
              </w:rPr>
              <w:t>[COMPLETAR]</w:t>
            </w:r>
          </w:p>
        </w:tc>
      </w:tr>
      <w:tr w:rsidR="008665C6" w14:paraId="18914425" w14:textId="77777777" w:rsidTr="008665C6">
        <w:trPr>
          <w:trHeight w:val="300"/>
        </w:trPr>
        <w:tc>
          <w:tcPr>
            <w:tcW w:w="334"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vAlign w:val="center"/>
          </w:tcPr>
          <w:p w14:paraId="7F6BBABD" w14:textId="17F00953" w:rsidR="008665C6" w:rsidRPr="423A7555" w:rsidRDefault="008665C6" w:rsidP="423A7555">
            <w:pPr>
              <w:spacing w:line="276" w:lineRule="auto"/>
              <w:jc w:val="center"/>
              <w:rPr>
                <w:rFonts w:ascii="Aptos" w:eastAsia="Aptos" w:hAnsi="Aptos" w:cs="Aptos"/>
                <w:color w:val="333333"/>
                <w:sz w:val="19"/>
                <w:szCs w:val="19"/>
              </w:rPr>
            </w:pPr>
            <w:r>
              <w:rPr>
                <w:rFonts w:ascii="Aptos" w:eastAsia="Aptos" w:hAnsi="Aptos" w:cs="Aptos"/>
                <w:color w:val="333333"/>
                <w:sz w:val="19"/>
                <w:szCs w:val="19"/>
              </w:rPr>
              <w:t>5</w:t>
            </w:r>
          </w:p>
        </w:tc>
        <w:tc>
          <w:tcPr>
            <w:tcW w:w="4125"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62E7F246" w14:textId="77777777" w:rsidR="008665C6" w:rsidRPr="423A7555" w:rsidRDefault="008665C6" w:rsidP="423A7555">
            <w:pPr>
              <w:spacing w:line="276" w:lineRule="auto"/>
              <w:rPr>
                <w:rFonts w:ascii="Aptos" w:eastAsia="Aptos" w:hAnsi="Aptos" w:cs="Aptos"/>
                <w:color w:val="000000" w:themeColor="text1"/>
              </w:rPr>
            </w:pPr>
            <w:r>
              <w:rPr>
                <w:b w:val="0"/>
              </w:rPr>
              <w:t>[COMPLETAR]</w:t>
            </w:r>
          </w:p>
        </w:tc>
        <w:tc>
          <w:tcPr>
            <w:tcW w:w="1828"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77464CF4" w14:textId="77777777" w:rsidR="008665C6" w:rsidRPr="423A7555" w:rsidRDefault="008665C6" w:rsidP="423A7555">
            <w:pPr>
              <w:spacing w:line="276" w:lineRule="auto"/>
              <w:rPr>
                <w:rFonts w:ascii="Aptos" w:eastAsia="Aptos" w:hAnsi="Aptos" w:cs="Aptos"/>
                <w:color w:val="000000" w:themeColor="text1"/>
              </w:rPr>
            </w:pPr>
            <w:r>
              <w:rPr>
                <w:b w:val="0"/>
              </w:rPr>
              <w:t>[COMPLETAR]</w:t>
            </w:r>
          </w:p>
        </w:tc>
        <w:tc>
          <w:tcPr>
            <w:tcW w:w="1985" w:type="dxa"/>
            <w:tcBorders>
              <w:top w:val="single" w:sz="8" w:space="0" w:color="5FA8C7"/>
              <w:left w:val="single" w:sz="8" w:space="0" w:color="5FA8C7"/>
              <w:bottom w:val="single" w:sz="8" w:space="0" w:color="5FA8C7"/>
              <w:right w:val="single" w:sz="8" w:space="0" w:color="5FA8C7"/>
            </w:tcBorders>
            <w:shd w:val="clear" w:color="auto" w:fill="EFF7FB"/>
          </w:tcPr>
          <w:p w14:paraId="7FEB2579" w14:textId="77777777" w:rsidR="008665C6" w:rsidRPr="6DAD5ECA" w:rsidRDefault="008665C6" w:rsidP="6DAD5ECA">
            <w:pPr>
              <w:spacing w:line="276" w:lineRule="auto"/>
              <w:rPr>
                <w:rFonts w:ascii="Aptos" w:eastAsia="Aptos" w:hAnsi="Aptos" w:cs="Aptos"/>
                <w:color w:val="000000" w:themeColor="text1"/>
              </w:rPr>
            </w:pPr>
            <w:r>
              <w:rPr>
                <w:b w:val="0"/>
              </w:rPr>
              <w:t>[COMPLETAR]</w:t>
            </w:r>
          </w:p>
        </w:tc>
        <w:tc>
          <w:tcPr>
            <w:tcW w:w="2551"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5F033190" w14:textId="719518F3" w:rsidR="008665C6" w:rsidRPr="6DAD5ECA" w:rsidRDefault="008665C6" w:rsidP="6DAD5ECA">
            <w:pPr>
              <w:spacing w:line="276" w:lineRule="auto"/>
              <w:rPr>
                <w:rFonts w:ascii="Aptos" w:eastAsia="Aptos" w:hAnsi="Aptos" w:cs="Aptos"/>
                <w:color w:val="000000" w:themeColor="text1"/>
              </w:rPr>
            </w:pPr>
            <w:r>
              <w:rPr>
                <w:b w:val="0"/>
              </w:rPr>
              <w:t>[COMPLETAR]</w:t>
            </w:r>
          </w:p>
        </w:tc>
      </w:tr>
    </w:tbl>
    <w:p w14:paraId="2B1150E8" w14:textId="12443628" w:rsidR="0031710B" w:rsidRDefault="423A7555" w:rsidP="008665C6">
      <w:pPr>
        <w:spacing w:after="22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80"/>
      </w:tblGrid>
      <w:tr w:rsidR="423A7555" w14:paraId="3671C604" w14:textId="77777777" w:rsidTr="006D5D2E">
        <w:trPr>
          <w:trHeight w:val="300"/>
        </w:trPr>
        <w:tc>
          <w:tcPr>
            <w:tcW w:w="10080" w:type="dxa"/>
            <w:tcBorders>
              <w:top w:val="nil"/>
              <w:left w:val="nil"/>
              <w:bottom w:val="single" w:sz="8" w:space="0" w:color="5FA8C7"/>
              <w:right w:val="nil"/>
            </w:tcBorders>
            <w:tcMar>
              <w:top w:w="40" w:type="dxa"/>
              <w:left w:w="40" w:type="dxa"/>
              <w:bottom w:w="100" w:type="dxa"/>
              <w:right w:w="40" w:type="dxa"/>
            </w:tcMar>
          </w:tcPr>
          <w:p w14:paraId="262F793E" w14:textId="75E07108" w:rsidR="423A7555" w:rsidRDefault="423A7555" w:rsidP="423A7555">
            <w:pPr>
              <w:spacing w:line="276" w:lineRule="auto"/>
            </w:pPr>
            <w:r>
              <w:rPr>
                <w:rFonts w:ascii="Aptos" w:hAnsi="Aptos"/>
                <w:b w:val="0"/>
                <w:sz w:val="20"/>
              </w:rPr>
              <w:t>Nombre del docente investigador asesor: [COMPLETAR]</w:t>
            </w:r>
          </w:p>
        </w:tc>
      </w:tr>
      <w:tr w:rsidR="006D5D2E" w14:paraId="34133F0F" w14:textId="77777777" w:rsidTr="00485338">
        <w:trPr>
          <w:trHeight w:val="300"/>
        </w:trPr>
        <w:tc>
          <w:tcPr>
            <w:tcW w:w="10080" w:type="dxa"/>
            <w:tcBorders>
              <w:top w:val="nil"/>
              <w:left w:val="nil"/>
              <w:bottom w:val="single" w:sz="8" w:space="0" w:color="5FA8C7"/>
              <w:right w:val="nil"/>
            </w:tcBorders>
            <w:tcMar>
              <w:top w:w="40" w:type="dxa"/>
              <w:left w:w="40" w:type="dxa"/>
              <w:bottom w:w="100" w:type="dxa"/>
              <w:right w:w="40" w:type="dxa"/>
            </w:tcMar>
          </w:tcPr>
          <w:p w14:paraId="1430ED7B" w14:textId="22EE6290" w:rsidR="006D5D2E" w:rsidRDefault="423A7555" w:rsidP="00485338">
            <w:pPr>
              <w:spacing w:line="276" w:lineRule="auto"/>
            </w:pPr>
            <w:r>
              <w:rPr>
                <w:rFonts w:ascii="Aptos" w:hAnsi="Aptos"/>
                <w:b w:val="0"/>
              </w:rPr>
              <w:t>Vinculación del docente con Unimagdalena (cátedra / ocasional / planta): [COMPLETAR]</w:t>
            </w:r>
          </w:p>
        </w:tc>
      </w:tr>
      <w:tr w:rsidR="006D5D2E" w14:paraId="5F776DD7" w14:textId="77777777" w:rsidTr="00485338">
        <w:trPr>
          <w:trHeight w:val="300"/>
        </w:trPr>
        <w:tc>
          <w:tcPr>
            <w:tcW w:w="10080" w:type="dxa"/>
            <w:tcBorders>
              <w:top w:val="nil"/>
              <w:left w:val="nil"/>
              <w:bottom w:val="single" w:sz="8" w:space="0" w:color="5FA8C7"/>
              <w:right w:val="nil"/>
            </w:tcBorders>
            <w:tcMar>
              <w:top w:w="40" w:type="dxa"/>
              <w:left w:w="40" w:type="dxa"/>
              <w:bottom w:w="100" w:type="dxa"/>
              <w:right w:w="40" w:type="dxa"/>
            </w:tcMar>
          </w:tcPr>
          <w:p w14:paraId="5532E68A" w14:textId="77777777" w:rsidR="006D5D2E" w:rsidRDefault="006D5D2E" w:rsidP="006D5D2E">
            <w:pPr>
              <w:spacing w:line="276" w:lineRule="auto"/>
              <w:rPr>
                <w:rFonts w:eastAsiaTheme="minorEastAsia"/>
                <w:b/>
                <w:bCs/>
                <w:color w:val="0B3D5C"/>
                <w:sz w:val="20"/>
                <w:szCs w:val="20"/>
              </w:rPr>
            </w:pPr>
            <w:r>
              <w:rPr>
                <w:b w:val="0"/>
                <w:sz w:val="20"/>
              </w:rPr>
              <w:t>Categoría a la que se postula el equipo</w:t>
            </w:r>
          </w:p>
          <w:p w14:paraId="5532E68A" w14:textId="77777777" w:rsidR="006D5D2E" w:rsidRDefault="006D5D2E" w:rsidP="006D5D2E">
            <w:pPr>
              <w:spacing w:line="276" w:lineRule="auto"/>
              <w:rPr>
                <w:rFonts w:eastAsiaTheme="minorEastAsia"/>
                <w:b/>
                <w:bCs/>
                <w:color w:val="0B3D5C"/>
                <w:sz w:val="20"/>
                <w:szCs w:val="20"/>
              </w:rPr>
            </w:pPr>
            <w:r>
              <w:rPr>
                <w:b w:val="0"/>
                <w:sz w:val="20"/>
              </w:rPr>
              <w:t>Primera: Soluciones Azules ( X )     Segunda: Reto Bio-Empaque (   )   Tercera: Innovación Abierta (  )</w:t>
            </w:r>
          </w:p>
        </w:tc>
      </w:tr>
      <w:tr w:rsidR="423A7555" w14:paraId="4536EAD8" w14:textId="77777777" w:rsidTr="006D5D2E">
        <w:trPr>
          <w:trHeight w:val="300"/>
        </w:trPr>
        <w:tc>
          <w:tcPr>
            <w:tcW w:w="10080" w:type="dxa"/>
            <w:tcBorders>
              <w:top w:val="nil"/>
              <w:left w:val="nil"/>
              <w:bottom w:val="single" w:sz="8" w:space="0" w:color="5FA8C7"/>
              <w:right w:val="nil"/>
            </w:tcBorders>
            <w:tcMar>
              <w:top w:w="40" w:type="dxa"/>
              <w:left w:w="40" w:type="dxa"/>
              <w:bottom w:w="100" w:type="dxa"/>
              <w:right w:w="40" w:type="dxa"/>
            </w:tcMar>
          </w:tcPr>
          <w:p w14:paraId="38D9463C" w14:textId="521EBA60" w:rsidR="423A7555" w:rsidRDefault="00AC0713" w:rsidP="423A7555">
            <w:pPr>
              <w:spacing w:line="276" w:lineRule="auto"/>
            </w:pPr>
            <w:r>
              <w:t>En el caso de la primera categoría, por favor seleccionar a continuación las líneas temáticas</w:t>
            </w:r>
          </w:p>
        </w:tc>
      </w:tr>
      <w:tr w:rsidR="423A7555" w14:paraId="2260298F" w14:textId="77777777" w:rsidTr="006D5D2E">
        <w:trPr>
          <w:trHeight w:val="300"/>
        </w:trPr>
        <w:tc>
          <w:tcPr>
            <w:tcW w:w="10080" w:type="dxa"/>
            <w:tcBorders>
              <w:top w:val="nil"/>
              <w:left w:val="nil"/>
              <w:bottom w:val="single" w:sz="8" w:space="0" w:color="5FA8C7"/>
              <w:right w:val="nil"/>
            </w:tcBorders>
            <w:tcMar>
              <w:top w:w="40" w:type="dxa"/>
              <w:left w:w="40" w:type="dxa"/>
              <w:bottom w:w="100" w:type="dxa"/>
              <w:right w:w="40" w:type="dxa"/>
            </w:tcMar>
          </w:tcPr>
          <w:p w14:paraId="5C64F458" w14:textId="6768CFFE" w:rsidR="423A7555" w:rsidRDefault="423A7555" w:rsidP="423A7555">
            <w:pPr>
              <w:spacing w:line="276" w:lineRule="auto"/>
            </w:pPr>
            <w:r>
              <w:rPr>
                <w:rFonts w:ascii="Aptos" w:hAnsi="Aptos"/>
                <w:b w:val="0"/>
              </w:rPr>
              <w:t>Línea(s) temática(s) seleccionada(s): Seleccionar hasta máximo dos (2) líneas.</w:t>
            </w:r>
          </w:p>
          <w:p w14:paraId="5C64F458" w14:textId="6768CFFE" w:rsidR="423A7555" w:rsidRDefault="423A7555" w:rsidP="423A7555">
            <w:pPr>
              <w:spacing w:line="276" w:lineRule="auto"/>
            </w:pPr>
            <w:r>
              <w:rPr>
                <w:rFonts w:ascii="Aptos" w:hAnsi="Aptos"/>
                <w:b w:val="0"/>
              </w:rPr>
              <w:t>Agua, océanos y cambio climático ( X )</w:t>
            </w:r>
          </w:p>
          <w:p w14:paraId="5C64F458" w14:textId="6768CFFE" w:rsidR="423A7555" w:rsidRDefault="423A7555" w:rsidP="423A7555">
            <w:pPr>
              <w:spacing w:line="276" w:lineRule="auto"/>
            </w:pPr>
            <w:r>
              <w:rPr>
                <w:rFonts w:ascii="Aptos" w:hAnsi="Aptos"/>
                <w:b w:val="0"/>
              </w:rPr>
              <w:t>Seguridad alimentaria, acuicultura, biotecnología azul y bioproductos (  )</w:t>
            </w:r>
          </w:p>
          <w:p w14:paraId="5C64F458" w14:textId="6768CFFE" w:rsidR="423A7555" w:rsidRDefault="423A7555" w:rsidP="423A7555">
            <w:pPr>
              <w:spacing w:line="276" w:lineRule="auto"/>
            </w:pPr>
            <w:r>
              <w:rPr>
                <w:rFonts w:ascii="Aptos" w:hAnsi="Aptos"/>
                <w:b w:val="0"/>
              </w:rPr>
              <w:t>Conservación, restauración y regeneración de la naturaleza (  )</w:t>
            </w:r>
          </w:p>
          <w:p w14:paraId="5C64F458" w14:textId="6768CFFE" w:rsidR="423A7555" w:rsidRDefault="423A7555" w:rsidP="423A7555">
            <w:pPr>
              <w:spacing w:line="276" w:lineRule="auto"/>
            </w:pPr>
            <w:r>
              <w:rPr>
                <w:rFonts w:ascii="Aptos" w:hAnsi="Aptos"/>
                <w:b w:val="0"/>
              </w:rPr>
              <w:t>Energías renovables y transición energética (  )</w:t>
            </w:r>
          </w:p>
          <w:p w14:paraId="5C64F458" w14:textId="6768CFFE" w:rsidR="423A7555" w:rsidRDefault="423A7555" w:rsidP="423A7555">
            <w:pPr>
              <w:spacing w:line="276" w:lineRule="auto"/>
            </w:pPr>
            <w:r>
              <w:rPr>
                <w:rFonts w:ascii="Aptos" w:hAnsi="Aptos"/>
                <w:b w:val="0"/>
              </w:rPr>
              <w:t>Salud y bienestar en territorios marino-costeros (  )</w:t>
            </w:r>
          </w:p>
          <w:p w14:paraId="5C64F458" w14:textId="6768CFFE" w:rsidR="423A7555" w:rsidRDefault="423A7555" w:rsidP="423A7555">
            <w:pPr>
              <w:spacing w:line="276" w:lineRule="auto"/>
            </w:pPr>
            <w:r>
              <w:rPr>
                <w:rFonts w:ascii="Aptos" w:hAnsi="Aptos"/>
                <w:b w:val="0"/>
              </w:rPr>
              <w:t>Arte, cultura, patrimonio y saberes ancestrales (  )</w:t>
            </w:r>
          </w:p>
          <w:p w14:paraId="5C64F458" w14:textId="6768CFFE" w:rsidR="423A7555" w:rsidRDefault="423A7555" w:rsidP="423A7555">
            <w:pPr>
              <w:spacing w:line="276" w:lineRule="auto"/>
            </w:pPr>
            <w:r>
              <w:rPr>
                <w:rFonts w:ascii="Aptos" w:hAnsi="Aptos"/>
                <w:b w:val="0"/>
              </w:rPr>
              <w:t>Turismo regenerativo, ecoturismo, cadena de valor del turismo (  )</w:t>
            </w:r>
          </w:p>
          <w:p w14:paraId="5C64F458" w14:textId="6768CFFE" w:rsidR="423A7555" w:rsidRDefault="423A7555" w:rsidP="423A7555">
            <w:pPr>
              <w:spacing w:line="276" w:lineRule="auto"/>
            </w:pPr>
            <w:r>
              <w:rPr>
                <w:rFonts w:ascii="Aptos" w:hAnsi="Aptos"/>
                <w:b w:val="0"/>
              </w:rPr>
              <w:t>Puertos, logística, movilidad y transporte marítimo sostenible (  )</w:t>
            </w:r>
          </w:p>
          <w:p w14:paraId="5C64F458" w14:textId="6768CFFE" w:rsidR="423A7555" w:rsidRDefault="423A7555" w:rsidP="423A7555">
            <w:pPr>
              <w:spacing w:line="276" w:lineRule="auto"/>
            </w:pPr>
            <w:r>
              <w:rPr>
                <w:rFonts w:ascii="Aptos" w:hAnsi="Aptos"/>
                <w:b w:val="0"/>
              </w:rPr>
              <w:t>Inteligencia artificial, datos, sensórica, y tecnologías aplicadas a la economía azul ( X )</w:t>
            </w:r>
          </w:p>
          <w:p w14:paraId="5C64F458" w14:textId="6768CFFE" w:rsidR="423A7555" w:rsidRDefault="423A7555" w:rsidP="423A7555">
            <w:pPr>
              <w:spacing w:line="276" w:lineRule="auto"/>
            </w:pPr>
            <w:r>
              <w:rPr>
                <w:rFonts w:ascii="Aptos" w:hAnsi="Aptos"/>
                <w:b w:val="0"/>
              </w:rPr>
              <w:t>Otras soluciones con impacto demostrable o potencial sobre cadenas de valor vinculadas con la economía azul (  )</w:t>
            </w:r>
          </w:p>
        </w:tc>
      </w:tr>
    </w:tbl>
    <w:p w14:paraId="38AF8972" w14:textId="638F849B" w:rsidR="0031710B" w:rsidRDefault="423A7555" w:rsidP="423A7555">
      <w:pPr>
        <w:spacing w:after="280" w:line="276" w:lineRule="auto"/>
        <w:jc w:val="both"/>
      </w:pPr>
      <w:r w:rsidRPr="423A7555">
        <w:rPr>
          <w:rFonts w:ascii="Aptos" w:eastAsia="Aptos" w:hAnsi="Aptos" w:cs="Aptos"/>
          <w:lang w:val="es-ES"/>
        </w:rPr>
        <w:lastRenderedPageBreak/>
        <w:t xml:space="preserve"> </w:t>
      </w:r>
    </w:p>
    <w:tbl>
      <w:tblPr>
        <w:tblW w:w="0" w:type="auto"/>
        <w:tblLook w:val="04A0" w:firstRow="1" w:lastRow="0" w:firstColumn="1" w:lastColumn="0" w:noHBand="0" w:noVBand="1"/>
      </w:tblPr>
      <w:tblGrid>
        <w:gridCol w:w="10060"/>
      </w:tblGrid>
      <w:tr w:rsidR="423A7555" w14:paraId="212D821E" w14:textId="77777777" w:rsidTr="423A7555">
        <w:trPr>
          <w:trHeight w:val="300"/>
        </w:trPr>
        <w:tc>
          <w:tcPr>
            <w:tcW w:w="10245" w:type="dxa"/>
            <w:tcBorders>
              <w:top w:val="single" w:sz="8" w:space="0" w:color="auto"/>
              <w:left w:val="single" w:sz="8" w:space="0" w:color="auto"/>
              <w:bottom w:val="single" w:sz="8" w:space="0" w:color="auto"/>
              <w:right w:val="single" w:sz="8" w:space="0" w:color="auto"/>
            </w:tcBorders>
            <w:shd w:val="clear" w:color="auto" w:fill="1F6E8C"/>
            <w:tcMar>
              <w:top w:w="100" w:type="dxa"/>
              <w:left w:w="150" w:type="dxa"/>
              <w:bottom w:w="100" w:type="dxa"/>
              <w:right w:w="150" w:type="dxa"/>
            </w:tcMar>
          </w:tcPr>
          <w:p w14:paraId="1A44202D" w14:textId="39B046ED" w:rsidR="423A7555" w:rsidRDefault="423A7555" w:rsidP="423A7555">
            <w:pPr>
              <w:spacing w:line="276" w:lineRule="auto"/>
            </w:pPr>
            <w:r w:rsidRPr="423A7555">
              <w:rPr>
                <w:rFonts w:ascii="Aptos" w:eastAsia="Aptos" w:hAnsi="Aptos" w:cs="Aptos"/>
                <w:b/>
                <w:bCs/>
                <w:color w:val="FFFFFF" w:themeColor="background1"/>
                <w:sz w:val="22"/>
                <w:szCs w:val="22"/>
              </w:rPr>
              <w:t>2. FUNDAMENTOS TÉCNICOS</w:t>
            </w:r>
          </w:p>
        </w:tc>
      </w:tr>
    </w:tbl>
    <w:p w14:paraId="6182A2BB" w14:textId="1E578394" w:rsidR="0031710B" w:rsidRDefault="423A7555" w:rsidP="423A7555">
      <w:pPr>
        <w:spacing w:after="14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60"/>
      </w:tblGrid>
      <w:tr w:rsidR="423A7555" w14:paraId="36475450" w14:textId="77777777" w:rsidTr="6DAD5ECA">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D6EAF3"/>
            <w:tcMar>
              <w:top w:w="60" w:type="dxa"/>
              <w:left w:w="150" w:type="dxa"/>
              <w:bottom w:w="60" w:type="dxa"/>
              <w:right w:w="150" w:type="dxa"/>
            </w:tcMar>
          </w:tcPr>
          <w:p w14:paraId="440A3152" w14:textId="476EE15A" w:rsidR="423A7555" w:rsidRDefault="00025E4F" w:rsidP="423A7555">
            <w:pPr>
              <w:spacing w:line="276" w:lineRule="auto"/>
            </w:pPr>
            <w:r>
              <w:rPr>
                <w:rFonts w:ascii="Aptos" w:eastAsia="Aptos" w:hAnsi="Aptos" w:cs="Aptos"/>
                <w:b/>
                <w:bCs/>
                <w:color w:val="0B3D5C"/>
                <w:sz w:val="20"/>
                <w:szCs w:val="20"/>
              </w:rPr>
              <w:t>Descripción</w:t>
            </w:r>
            <w:r w:rsidR="423A7555" w:rsidRPr="423A7555">
              <w:rPr>
                <w:rFonts w:ascii="Aptos" w:eastAsia="Aptos" w:hAnsi="Aptos" w:cs="Aptos"/>
                <w:b/>
                <w:bCs/>
                <w:color w:val="0B3D5C"/>
                <w:sz w:val="20"/>
                <w:szCs w:val="20"/>
              </w:rPr>
              <w:t xml:space="preserve"> de la problemática </w:t>
            </w:r>
            <w:r w:rsidR="423A7555" w:rsidRPr="423A7555">
              <w:rPr>
                <w:rFonts w:ascii="Aptos" w:eastAsia="Aptos" w:hAnsi="Aptos" w:cs="Aptos"/>
                <w:b/>
                <w:bCs/>
                <w:color w:val="4E95D9"/>
                <w:sz w:val="20"/>
                <w:szCs w:val="20"/>
              </w:rPr>
              <w:t xml:space="preserve">(máximo </w:t>
            </w:r>
            <w:r>
              <w:rPr>
                <w:rFonts w:ascii="Aptos" w:eastAsia="Aptos" w:hAnsi="Aptos" w:cs="Aptos"/>
                <w:b/>
                <w:bCs/>
                <w:color w:val="4E95D9"/>
                <w:sz w:val="20"/>
                <w:szCs w:val="20"/>
              </w:rPr>
              <w:t>5</w:t>
            </w:r>
            <w:r w:rsidR="423A7555" w:rsidRPr="423A7555">
              <w:rPr>
                <w:rFonts w:ascii="Aptos" w:eastAsia="Aptos" w:hAnsi="Aptos" w:cs="Aptos"/>
                <w:b/>
                <w:bCs/>
                <w:color w:val="4E95D9"/>
                <w:sz w:val="20"/>
                <w:szCs w:val="20"/>
              </w:rPr>
              <w:t xml:space="preserve">00 </w:t>
            </w:r>
            <w:r w:rsidR="00464C55">
              <w:rPr>
                <w:rFonts w:ascii="Aptos" w:eastAsia="Aptos" w:hAnsi="Aptos" w:cs="Aptos"/>
                <w:b/>
                <w:bCs/>
                <w:color w:val="4E95D9"/>
                <w:sz w:val="20"/>
                <w:szCs w:val="20"/>
              </w:rPr>
              <w:t>palabras</w:t>
            </w:r>
            <w:r w:rsidR="423A7555" w:rsidRPr="423A7555">
              <w:rPr>
                <w:rFonts w:ascii="Aptos" w:eastAsia="Aptos" w:hAnsi="Aptos" w:cs="Aptos"/>
                <w:b/>
                <w:bCs/>
                <w:color w:val="4E95D9"/>
                <w:sz w:val="20"/>
                <w:szCs w:val="20"/>
              </w:rPr>
              <w:t>)</w:t>
            </w:r>
          </w:p>
        </w:tc>
      </w:tr>
      <w:tr w:rsidR="423A7555" w14:paraId="49EF70AC" w14:textId="77777777" w:rsidTr="6DAD5ECA">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EFF7FB"/>
            <w:tcMar>
              <w:top w:w="150" w:type="dxa"/>
              <w:left w:w="200" w:type="dxa"/>
              <w:bottom w:w="100" w:type="dxa"/>
              <w:right w:w="200" w:type="dxa"/>
            </w:tcMar>
          </w:tcPr>
          <w:p w14:paraId="510C0274" w14:textId="28D824DC" w:rsidR="423A7555" w:rsidRPr="006D5D2E" w:rsidRDefault="00BB487D" w:rsidP="00BB3D0B">
            <w:pPr>
              <w:spacing w:after="0" w:line="276" w:lineRule="auto"/>
              <w:jc w:val="both"/>
              <w:rPr>
                <w:i/>
                <w:iCs/>
                <w:sz w:val="18"/>
                <w:szCs w:val="18"/>
              </w:rPr>
            </w:pPr>
            <w:proofErr w:type="spellStart"/>
            <w:proofErr w:type="spellEnd"/>
            <w:r>
              <w:rPr>
                <w:sz w:val="18"/>
              </w:rPr>
              <w:t>La Ciénaga Grande de Santa Marta (CGSM), mayor complejo lagunar-estuarino de Colombia, sostiene la pesca artesanal de las comunidades ribereñas y palafíticas del Magdalena: Tasajera (Pueblo Viejo), Nueva Venecia y Buenavista. Es un cuerpo somero (2,30 m de profundidad máxima) que responde de forma rápida y no lineal a los pulsos de salinidad, la anoxia y el aumento de temperatura. Ha perdido más del 60 % de su cobertura original de manglar por alteraciones hidrológicas, contaminación y presión antrópica; en Puebloviejo el índice de pobreza multidimensional supera el 85 % y cerca del 70 % de la población depende de la pesca artesanal para subsistir (Ruiz-Guevara et al., 2025). La autoridad ambiental califica la calidad del agua de la subzona como «mala», con un índice de alteración potencial alto y muy alto, y registra «mortandades de peces y disminución en las capturas» que afectan la seguridad alimentaria local (ANLA, 2025). En Tasajera, cuando la pesca decae, decae la economía de casi todos sus habitantes (Carrillo Rada y Mendoza Curvelo, 2021).</w:t>
            </w:r>
          </w:p>
          <w:p w14:paraId="510C0274" w14:textId="28D824DC" w:rsidR="423A7555" w:rsidRPr="006D5D2E" w:rsidRDefault="00BB487D" w:rsidP="00BB3D0B">
            <w:pPr>
              <w:spacing w:after="0" w:line="276" w:lineRule="auto"/>
              <w:jc w:val="both"/>
              <w:rPr>
                <w:i/>
                <w:iCs/>
                <w:sz w:val="18"/>
                <w:szCs w:val="18"/>
              </w:rPr>
            </w:pPr>
            <w:proofErr w:type="spellStart"/>
            <w:proofErr w:type="spellEnd"/>
            <w:r>
              <w:rPr>
                <w:sz w:val="18"/>
              </w:rPr>
            </w:r>
          </w:p>
          <w:p w14:paraId="510C0274" w14:textId="28D824DC" w:rsidR="423A7555" w:rsidRPr="006D5D2E" w:rsidRDefault="00BB487D" w:rsidP="00BB3D0B">
            <w:pPr>
              <w:spacing w:after="0" w:line="276" w:lineRule="auto"/>
              <w:jc w:val="both"/>
              <w:rPr>
                <w:i/>
                <w:iCs/>
                <w:sz w:val="18"/>
                <w:szCs w:val="18"/>
              </w:rPr>
            </w:pPr>
            <w:proofErr w:type="spellStart"/>
            <w:proofErr w:type="spellEnd"/>
            <w:r>
              <w:rPr>
                <w:sz w:val="18"/>
              </w:rPr>
              <w:t>La brecha no es solo de traducción: es de medición. Dentro de la laguna no existe una serie continua de datos fisicoquímicos. El monitoreo de referencia opera por campañas —mensuales en dos estaciones y semestrales en siete— y se publica en informes anuales (INVEMAR, 2023); ninguna de las 31 estaciones activas del IDEAM en la subzona mide el espejo de agua de la Ciénaga; y los productos satelitales de resolución gruesa, concebidos para océano abierto, pierden validez en lagunas someras y ópticamente complejas (Martin et al., 2025), donde las estaciones fijas in situ resultan indispensables (Salama et al., 2022). Hoy nadie —ni el pescador ni el investigador— sabe qué ocurre en el agua cuando ocurre.</w:t>
            </w:r>
          </w:p>
          <w:p w14:paraId="510C0274" w14:textId="28D824DC" w:rsidR="423A7555" w:rsidRPr="006D5D2E" w:rsidRDefault="00BB487D" w:rsidP="00BB3D0B">
            <w:pPr>
              <w:spacing w:after="0" w:line="276" w:lineRule="auto"/>
              <w:jc w:val="both"/>
              <w:rPr>
                <w:i/>
                <w:iCs/>
                <w:sz w:val="18"/>
                <w:szCs w:val="18"/>
              </w:rPr>
            </w:pPr>
            <w:proofErr w:type="spellStart"/>
            <w:proofErr w:type="spellEnd"/>
            <w:r>
              <w:rPr>
                <w:sz w:val="18"/>
              </w:rPr>
            </w:r>
          </w:p>
          <w:p w14:paraId="510C0274" w14:textId="28D824DC" w:rsidR="423A7555" w:rsidRPr="006D5D2E" w:rsidRDefault="00BB487D" w:rsidP="00BB3D0B">
            <w:pPr>
              <w:spacing w:after="0" w:line="276" w:lineRule="auto"/>
              <w:jc w:val="both"/>
              <w:rPr>
                <w:i/>
                <w:iCs/>
                <w:sz w:val="18"/>
                <w:szCs w:val="18"/>
              </w:rPr>
            </w:pPr>
            <w:proofErr w:type="spellStart"/>
            <w:proofErr w:type="spellEnd"/>
            <w:r>
              <w:rPr>
                <w:sz w:val="18"/>
              </w:rPr>
              <w:t>El costo se paga en tres frentes. Seguridad: zarpar sin información sobre el estado del tiempo es causa reconocida de accidentes en la pesca de pequeña escala (FAO, 2020), riesgo que agravan los vientos fuertes de la temporada de lluvias. Ingresos: sin saber dónde y cuándo hay condiciones favorables se pierden combustible y jornada, y se desaprovechan los periodos de abundancia. Gobernanza: sin evidencia propia, la comunidad queda excluida de las decisiones sobre su territorio.</w:t>
            </w:r>
          </w:p>
          <w:p w14:paraId="510C0274" w14:textId="28D824DC" w:rsidR="423A7555" w:rsidRPr="006D5D2E" w:rsidRDefault="00BB487D" w:rsidP="00BB3D0B">
            <w:pPr>
              <w:spacing w:after="0" w:line="276" w:lineRule="auto"/>
              <w:jc w:val="both"/>
              <w:rPr>
                <w:i/>
                <w:iCs/>
                <w:sz w:val="18"/>
                <w:szCs w:val="18"/>
              </w:rPr>
            </w:pPr>
            <w:proofErr w:type="spellStart"/>
            <w:proofErr w:type="spellEnd"/>
            <w:r>
              <w:rPr>
                <w:sz w:val="18"/>
              </w:rPr>
            </w:r>
          </w:p>
          <w:p w14:paraId="510C0274" w14:textId="28D824DC" w:rsidR="423A7555" w:rsidRPr="006D5D2E" w:rsidRDefault="00BB487D" w:rsidP="00BB3D0B">
            <w:pPr>
              <w:spacing w:after="0" w:line="276" w:lineRule="auto"/>
              <w:jc w:val="both"/>
              <w:rPr>
                <w:i/>
                <w:iCs/>
                <w:sz w:val="18"/>
                <w:szCs w:val="18"/>
              </w:rPr>
            </w:pPr>
            <w:proofErr w:type="spellStart"/>
            <w:proofErr w:type="spellEnd"/>
            <w:r>
              <w:rPr>
                <w:sz w:val="18"/>
              </w:rPr>
              <w:t>La situación se validó en territorio con visitas y conversaciones con pescadores de Tasajera y los pueblos palafíticos, donde se contrastó el lenguaje del sistema y se confirmó que WhatsApp es el canal por el que ya circula la información; se complementó con consulta a expertos e instituciones (docentes de la Universidad del Magdalena, INVEMAR, CORPAMAG e IDEAM). La propuesta se articula con dos líneas de InnovAzul Caribe 2026: «Agua, océanos y cambio climático» e «Inteligencia artificial, datos, sensórica y tecnologías aplicadas a la economía azul».</w:t>
            </w:r>
          </w:p>
          <w:p w14:paraId="510C0274" w14:textId="28D824DC" w:rsidR="423A7555" w:rsidRPr="006D5D2E" w:rsidRDefault="00BB487D" w:rsidP="00BB3D0B">
            <w:pPr>
              <w:spacing w:after="0" w:line="276" w:lineRule="auto"/>
              <w:jc w:val="both"/>
              <w:rPr>
                <w:i/>
                <w:iCs/>
                <w:sz w:val="18"/>
                <w:szCs w:val="18"/>
              </w:rPr>
            </w:pPr>
            <w:proofErr w:type="spellStart"/>
            <w:proofErr w:type="spellEnd"/>
            <w:r>
              <w:rPr>
                <w:sz w:val="18"/>
              </w:rPr>
            </w:r>
          </w:p>
          <w:p w14:paraId="510C0274" w14:textId="28D824DC" w:rsidR="423A7555" w:rsidRPr="006D5D2E" w:rsidRDefault="00BB487D" w:rsidP="00BB3D0B">
            <w:pPr>
              <w:spacing w:after="0" w:line="276" w:lineRule="auto"/>
              <w:jc w:val="both"/>
              <w:rPr>
                <w:i/>
                <w:iCs/>
                <w:sz w:val="18"/>
                <w:szCs w:val="18"/>
              </w:rPr>
            </w:pPr>
            <w:proofErr w:type="spellStart"/>
            <w:proofErr w:type="spellEnd"/>
            <w:r>
              <w:rPr>
                <w:sz w:val="18"/>
              </w:rPr>
              <w:t>Pregunta problema: ¿cómo generar y democratizar información ambiental propia y continua de la Ciénaga Grande de Santa Marta, articulando sensores IoT de bajo costo, datos satelitales abiertos e inteligencia artificial conversacional con el conocimiento tradicional de los pescadores, para apoyar decisiones más seguras y oportunas sin sustituir su experiencia?</w:t>
            </w:r>
          </w:p>
        </w:tc>
      </w:tr>
    </w:tbl>
    <w:p w14:paraId="171A8419" w14:textId="20A64652" w:rsidR="0031710B" w:rsidRDefault="423A7555" w:rsidP="423A7555">
      <w:pPr>
        <w:spacing w:after="200" w:line="276" w:lineRule="auto"/>
        <w:jc w:val="both"/>
        <w:rPr>
          <w:rFonts w:ascii="Aptos" w:eastAsia="Aptos" w:hAnsi="Aptos" w:cs="Aptos"/>
          <w:lang w:val="es-ES"/>
        </w:rPr>
      </w:pPr>
      <w:r w:rsidRPr="423A7555">
        <w:rPr>
          <w:rFonts w:ascii="Aptos" w:eastAsia="Aptos" w:hAnsi="Aptos" w:cs="Aptos"/>
          <w:lang w:val="es-ES"/>
        </w:rPr>
        <w:t xml:space="preserve"> </w:t>
      </w:r>
    </w:p>
    <w:p w14:paraId="750BB252" w14:textId="77777777" w:rsidR="00BB3D0B" w:rsidRDefault="00BB3D0B" w:rsidP="423A7555">
      <w:pPr>
        <w:spacing w:after="200" w:line="276" w:lineRule="auto"/>
        <w:jc w:val="both"/>
        <w:rPr>
          <w:lang w:val="es-ES"/>
        </w:rPr>
      </w:pPr>
    </w:p>
    <w:p w14:paraId="0B8640F3" w14:textId="77777777" w:rsidR="00BB3D0B" w:rsidRDefault="00BB3D0B" w:rsidP="423A7555">
      <w:pPr>
        <w:spacing w:after="200" w:line="276" w:lineRule="auto"/>
        <w:jc w:val="both"/>
      </w:pPr>
    </w:p>
    <w:p w14:paraId="753BA64B" w14:textId="77777777" w:rsidR="00A05CDD" w:rsidRDefault="00A05CDD" w:rsidP="423A7555">
      <w:pPr>
        <w:spacing w:after="200" w:line="276" w:lineRule="auto"/>
        <w:jc w:val="both"/>
      </w:pPr>
    </w:p>
    <w:p w14:paraId="795823CD" w14:textId="77777777" w:rsidR="00A05CDD" w:rsidRDefault="00A05CDD" w:rsidP="423A7555">
      <w:pPr>
        <w:spacing w:after="200" w:line="276" w:lineRule="auto"/>
        <w:jc w:val="both"/>
      </w:pPr>
    </w:p>
    <w:tbl>
      <w:tblPr>
        <w:tblW w:w="0" w:type="auto"/>
        <w:tblLook w:val="04A0" w:firstRow="1" w:lastRow="0" w:firstColumn="1" w:lastColumn="0" w:noHBand="0" w:noVBand="1"/>
      </w:tblPr>
      <w:tblGrid>
        <w:gridCol w:w="10060"/>
      </w:tblGrid>
      <w:tr w:rsidR="423A7555" w14:paraId="33DC4610" w14:textId="77777777" w:rsidTr="6DAD5ECA">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D6EAF3"/>
            <w:tcMar>
              <w:top w:w="60" w:type="dxa"/>
              <w:left w:w="150" w:type="dxa"/>
              <w:bottom w:w="60" w:type="dxa"/>
              <w:right w:w="150" w:type="dxa"/>
            </w:tcMar>
          </w:tcPr>
          <w:p w14:paraId="390E4CDD" w14:textId="030C7C4A" w:rsidR="423A7555" w:rsidRDefault="00BB487D" w:rsidP="423A7555">
            <w:pPr>
              <w:spacing w:line="276" w:lineRule="auto"/>
            </w:pPr>
            <w:r>
              <w:rPr>
                <w:rFonts w:ascii="Aptos" w:eastAsia="Aptos" w:hAnsi="Aptos" w:cs="Aptos"/>
                <w:b/>
                <w:bCs/>
                <w:color w:val="0B3D5C"/>
                <w:sz w:val="20"/>
                <w:szCs w:val="20"/>
              </w:rPr>
              <w:t>V</w:t>
            </w:r>
            <w:r w:rsidR="423A7555" w:rsidRPr="423A7555">
              <w:rPr>
                <w:rFonts w:ascii="Aptos" w:eastAsia="Aptos" w:hAnsi="Aptos" w:cs="Aptos"/>
                <w:b/>
                <w:bCs/>
                <w:color w:val="0B3D5C"/>
                <w:sz w:val="20"/>
                <w:szCs w:val="20"/>
              </w:rPr>
              <w:t xml:space="preserve">iabilidad técnica </w:t>
            </w:r>
            <w:r w:rsidR="423A7555" w:rsidRPr="423A7555">
              <w:rPr>
                <w:rFonts w:ascii="Aptos" w:eastAsia="Aptos" w:hAnsi="Aptos" w:cs="Aptos"/>
                <w:b/>
                <w:bCs/>
                <w:color w:val="4E95D9"/>
                <w:sz w:val="20"/>
                <w:szCs w:val="20"/>
              </w:rPr>
              <w:t xml:space="preserve">(máximo </w:t>
            </w:r>
            <w:r>
              <w:rPr>
                <w:rFonts w:ascii="Aptos" w:eastAsia="Aptos" w:hAnsi="Aptos" w:cs="Aptos"/>
                <w:b/>
                <w:bCs/>
                <w:color w:val="4E95D9"/>
                <w:sz w:val="20"/>
                <w:szCs w:val="20"/>
              </w:rPr>
              <w:t>5</w:t>
            </w:r>
            <w:r w:rsidR="423A7555" w:rsidRPr="423A7555">
              <w:rPr>
                <w:rFonts w:ascii="Aptos" w:eastAsia="Aptos" w:hAnsi="Aptos" w:cs="Aptos"/>
                <w:b/>
                <w:bCs/>
                <w:color w:val="4E95D9"/>
                <w:sz w:val="20"/>
                <w:szCs w:val="20"/>
              </w:rPr>
              <w:t xml:space="preserve">00 </w:t>
            </w:r>
            <w:r w:rsidR="00464C55">
              <w:rPr>
                <w:rFonts w:ascii="Aptos" w:eastAsia="Aptos" w:hAnsi="Aptos" w:cs="Aptos"/>
                <w:b/>
                <w:bCs/>
                <w:color w:val="4E95D9"/>
                <w:sz w:val="20"/>
                <w:szCs w:val="20"/>
              </w:rPr>
              <w:t>palabras</w:t>
            </w:r>
            <w:r w:rsidR="423A7555" w:rsidRPr="423A7555">
              <w:rPr>
                <w:rFonts w:ascii="Aptos" w:eastAsia="Aptos" w:hAnsi="Aptos" w:cs="Aptos"/>
                <w:b/>
                <w:bCs/>
                <w:color w:val="4E95D9"/>
                <w:sz w:val="20"/>
                <w:szCs w:val="20"/>
              </w:rPr>
              <w:t>)</w:t>
            </w:r>
          </w:p>
        </w:tc>
      </w:tr>
      <w:tr w:rsidR="423A7555" w14:paraId="3A75DDD6" w14:textId="77777777" w:rsidTr="6DAD5ECA">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EFF7FB"/>
            <w:tcMar>
              <w:top w:w="150" w:type="dxa"/>
              <w:left w:w="200" w:type="dxa"/>
              <w:bottom w:w="100" w:type="dxa"/>
              <w:right w:w="200" w:type="dxa"/>
            </w:tcMar>
          </w:tcPr>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sz w:val="18"/>
              </w:rPr>
              <w:t>CienaRed es un desarrollo del Seminario Aluna IA de la Universidad del Magdalena, en construcción desde el primer semestre de 2026. Nació como dos prototipos: Red Gaira Inteligente, de un trabajo de grado en Licenciatura en Química, que aportó la instrumentación de bajo costo y la gobernanza comunitaria; y CienRayas (antes CiénaFish), con los datos abiertos, la lógica de decisión y el canal conversacional. Tras cerca de seis meses convergieron en un tercer producto —de ahí el nombre: la Ciénaga y la red, la de sensores que la mide y la comunitaria que la sostiene— hoy organizado en tres capas.</w:t>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sz w:val="18"/>
              </w:rPr>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sz w:val="18"/>
              </w:rPr>
              <w:t>Nodo multiparamétrico. Hardware libre sobre microcontrolador ESP32: sonda sumergible de pH con módulo analógico, sensor de conductividad eléctrica (TDS) como proxy de salinidad, sonda de temperatura DS18B20 con recubrimiento de acero, pantalla OLED de 0,96" para lectura in situ, batería recargable y carcasa estanca IP65/IP67 con conectores sellados, indispensable en ambiente salino. Se ancla en muelle o palafito y realiza tres mediciones diarias, suficientes para el ciclo diario sin agotar la batería.</w:t>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sz w:val="18"/>
              </w:rPr>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sz w:val="18"/>
              </w:rPr>
              <w:t>Principio y exactitud. Potenciometría con electrodo de vidrio para el pH, conductimetría para la salinidad —la conductividad es proporcional a la concentración iónica— y sonda digital 1-Wire para la temperatura, que compensa térmicamente ambas lecturas. La literatura respalda su exactitud: nodos ESP32 con sensores de bajo costo reportan errores no superiores al 6,5 % frente a una sonda comercial Hanna (Bernal Suarez et al., 2024) y errores relativos mayoritariamente iguales o inferiores al 5 %, con pH y temperatura como los más exactos (Slongo et al., 2024). El limitante operativo no es el sensor sino la bioincrustación (Delgado et al., 2021); de ahí el protocolo de calibración y limpieza ejecutable por la comunidad con soluciones tampón y patrones de conductividad.</w:t>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sz w:val="18"/>
              </w:rPr>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sz w:val="18"/>
              </w:rPr>
              <w:t>Transmisión. Las lecturas viajan por LoRa a una pasarela con internet y de allí al backend. Se eligió por su bajo consumo y alcance, idóneos para monitoreo rural y remoto (Gómez-Henk et al., 2026), y ya demostrada en calidad de agua en tiempo real sobre un río (Berrio Quintanilla et al., 2025): es la opción viable en una laguna sin cobertura celular estable.</w:t>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sz w:val="18"/>
              </w:rPr>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sz w:val="18"/>
              </w:rPr>
              <w:t>Plataforma. Backend en FastAPI y PostgreSQL, con clave de API por sensor en hash, que integra fuentes abiertas verificadas (Open-Meteo, temperatura superficial NASA MUR, clorofila Sentinel-3 OLCI y datos hidrológicos del IDEAM) y ejecuta la lógica de decisión: semáforo, un índice experimental de condiciones ambientales para la faena (0 a 100) por seis zonas de pesca (aún sin contraste con datos de captura) y avisos ante condiciones adversas. Las salidas: un tablero web con series históricas para investigadores y entidades, y mensajes de WhatsApp traducidos por un modelo de lenguaje al habla local.</w:t>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sz w:val="18"/>
              </w:rPr>
            </w:r>
          </w:p>
          <w:p w14:paraId="24D70DC8" w14:textId="64FBF9B2" w:rsidR="423A7555" w:rsidRPr="006D5D2E" w:rsidRDefault="003C26BD" w:rsidP="003C26BD">
            <w:pPr>
              <w:spacing w:after="100" w:line="276" w:lineRule="auto"/>
              <w:jc w:val="both"/>
              <w:rPr>
                <w:rFonts w:ascii="Aptos" w:eastAsia="Aptos" w:hAnsi="Aptos" w:cs="Aptos"/>
                <w:i/>
                <w:iCs/>
                <w:color w:val="5A6B72"/>
                <w:sz w:val="18"/>
                <w:szCs w:val="18"/>
              </w:rPr>
            </w:pPr>
            <w:r>
              <w:rPr>
                <w:rFonts w:ascii="Aptos" w:hAnsi="Aptos"/>
                <w:sz w:val="18"/>
              </w:rPr>
              <w:t>Madurez tecnológica: TRL 4. Los componentes están construidos y validados por separado en entorno controlado —sensor avalado por comité de expertos, backend con más de 200 pruebas automatizadas— y el problema fue validado con la comunidad. Falta el despliegue continuo de los nodos en la laguna, paso hacia TRL 5.</w:t>
            </w:r>
          </w:p>
        </w:tc>
      </w:tr>
    </w:tbl>
    <w:p w14:paraId="3EA8645C" w14:textId="6B3E697D" w:rsidR="0031710B" w:rsidRDefault="423A7555" w:rsidP="423A7555">
      <w:pPr>
        <w:spacing w:after="20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60"/>
      </w:tblGrid>
      <w:tr w:rsidR="423A7555" w14:paraId="34ED7292" w14:textId="77777777" w:rsidTr="423A7555">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D6EAF3"/>
            <w:tcMar>
              <w:top w:w="60" w:type="dxa"/>
              <w:left w:w="150" w:type="dxa"/>
              <w:bottom w:w="60" w:type="dxa"/>
              <w:right w:w="150" w:type="dxa"/>
            </w:tcMar>
          </w:tcPr>
          <w:p w14:paraId="167FAED0" w14:textId="53337647" w:rsidR="423A7555" w:rsidRDefault="00BB487D" w:rsidP="423A7555">
            <w:pPr>
              <w:spacing w:line="276" w:lineRule="auto"/>
            </w:pPr>
            <w:r>
              <w:rPr>
                <w:rFonts w:ascii="Aptos" w:eastAsia="Aptos" w:hAnsi="Aptos" w:cs="Aptos"/>
                <w:b/>
                <w:bCs/>
                <w:color w:val="4E95D9"/>
                <w:sz w:val="20"/>
                <w:szCs w:val="20"/>
              </w:rPr>
              <w:t xml:space="preserve">Componente de Innovación </w:t>
            </w:r>
            <w:r w:rsidR="423A7555" w:rsidRPr="423A7555">
              <w:rPr>
                <w:rFonts w:ascii="Aptos" w:eastAsia="Aptos" w:hAnsi="Aptos" w:cs="Aptos"/>
                <w:b/>
                <w:bCs/>
                <w:color w:val="4E95D9"/>
                <w:sz w:val="20"/>
                <w:szCs w:val="20"/>
              </w:rPr>
              <w:t xml:space="preserve">(máximo </w:t>
            </w:r>
            <w:r>
              <w:rPr>
                <w:rFonts w:ascii="Aptos" w:eastAsia="Aptos" w:hAnsi="Aptos" w:cs="Aptos"/>
                <w:b/>
                <w:bCs/>
                <w:color w:val="4E95D9"/>
                <w:sz w:val="20"/>
                <w:szCs w:val="20"/>
              </w:rPr>
              <w:t>5</w:t>
            </w:r>
            <w:r w:rsidR="423A7555" w:rsidRPr="423A7555">
              <w:rPr>
                <w:rFonts w:ascii="Aptos" w:eastAsia="Aptos" w:hAnsi="Aptos" w:cs="Aptos"/>
                <w:b/>
                <w:bCs/>
                <w:color w:val="4E95D9"/>
                <w:sz w:val="20"/>
                <w:szCs w:val="20"/>
              </w:rPr>
              <w:t xml:space="preserve">00 </w:t>
            </w:r>
            <w:r w:rsidR="00464C55">
              <w:rPr>
                <w:rFonts w:ascii="Aptos" w:eastAsia="Aptos" w:hAnsi="Aptos" w:cs="Aptos"/>
                <w:b/>
                <w:bCs/>
                <w:color w:val="4E95D9"/>
                <w:sz w:val="20"/>
                <w:szCs w:val="20"/>
              </w:rPr>
              <w:t>palabras</w:t>
            </w:r>
            <w:r w:rsidR="423A7555" w:rsidRPr="423A7555">
              <w:rPr>
                <w:rFonts w:ascii="Aptos" w:eastAsia="Aptos" w:hAnsi="Aptos" w:cs="Aptos"/>
                <w:b/>
                <w:bCs/>
                <w:color w:val="4E95D9"/>
                <w:sz w:val="20"/>
                <w:szCs w:val="20"/>
              </w:rPr>
              <w:t>)</w:t>
            </w:r>
          </w:p>
        </w:tc>
      </w:tr>
      <w:tr w:rsidR="423A7555" w14:paraId="0B39BE39" w14:textId="77777777" w:rsidTr="423A7555">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EFF7FB"/>
            <w:tcMar>
              <w:top w:w="150" w:type="dxa"/>
              <w:left w:w="200" w:type="dxa"/>
              <w:bottom w:w="100" w:type="dxa"/>
              <w:right w:w="200" w:type="dxa"/>
            </w:tcMar>
          </w:tcPr>
          <w:p w14:paraId="3553825A" w14:textId="07C5DFA5" w:rsidR="423A7555" w:rsidRDefault="00831CFC" w:rsidP="423A7555">
            <w:pPr>
              <w:pBdr>
                <w:bottom w:val="single" w:sz="8" w:space="1" w:color="5FA8C7"/>
              </w:pBdr>
              <w:spacing w:after="220" w:line="276" w:lineRule="auto"/>
            </w:pPr>
            <w:r>
              <w:rPr>
                <w:rFonts w:ascii="Aptos" w:hAnsi="Aptos"/>
                <w:sz w:val="18"/>
              </w:rPr>
              <w:t>Lo que distingue a CienaRed no es que traduzca datos ajenos, sino que produce los suyos y los devuelve, el mismo día, a dos públicos que hasta ahora nunca compartieron una fuente: el pescador que decide si sale y el investigador que estudia la laguna.</w:t>
            </w:r>
          </w:p>
          <w:p w14:paraId="3553825A" w14:textId="07C5DFA5" w:rsidR="423A7555" w:rsidRDefault="00831CFC" w:rsidP="423A7555">
            <w:pPr>
              <w:pBdr>
                <w:bottom w:val="single" w:sz="8" w:space="1" w:color="5FA8C7"/>
              </w:pBdr>
              <w:spacing w:after="220" w:line="276" w:lineRule="auto"/>
            </w:pPr>
            <w:r>
              <w:rPr>
                <w:rFonts w:ascii="Aptos" w:hAnsi="Aptos"/>
                <w:sz w:val="18"/>
              </w:rPr>
            </w:r>
          </w:p>
          <w:p w14:paraId="3553825A" w14:textId="07C5DFA5" w:rsidR="423A7555" w:rsidRDefault="00831CFC" w:rsidP="423A7555">
            <w:pPr>
              <w:pBdr>
                <w:bottom w:val="single" w:sz="8" w:space="1" w:color="5FA8C7"/>
              </w:pBdr>
              <w:spacing w:after="220" w:line="276" w:lineRule="auto"/>
            </w:pPr>
            <w:r>
              <w:rPr>
                <w:rFonts w:ascii="Aptos" w:hAnsi="Aptos"/>
                <w:sz w:val="18"/>
              </w:rPr>
              <w:t>Empieza por llenar un vacío verificado. El monitoreo de referencia trabaja por campañas —mensuales en dos estaciones, semestrales en siete (INVEMAR, 2023)— y los productos satelitales de resolución gruesa pierden validez en lagunas someras y ópticamente complejas (Martin et al., 2025), y las estaciones fijas in situ se consideran indispensables para entender un sistema estuarino (Salama et al., 2022). CienaRed instala esa medición ausente: pH, conductividad y temperatura tres veces al día, con fecha, hora y coordenada. Una serie continua y georreferenciada que hoy nadie produce dentro del espejo de agua.</w:t>
            </w:r>
          </w:p>
          <w:p w14:paraId="3553825A" w14:textId="07C5DFA5" w:rsidR="423A7555" w:rsidRDefault="00831CFC" w:rsidP="423A7555">
            <w:pPr>
              <w:pBdr>
                <w:bottom w:val="single" w:sz="8" w:space="1" w:color="5FA8C7"/>
              </w:pBdr>
              <w:spacing w:after="220" w:line="276" w:lineRule="auto"/>
            </w:pPr>
            <w:r>
              <w:rPr>
                <w:rFonts w:ascii="Aptos" w:hAnsi="Aptos"/>
                <w:sz w:val="18"/>
              </w:rPr>
            </w:r>
          </w:p>
          <w:p w14:paraId="3553825A" w14:textId="07C5DFA5" w:rsidR="423A7555" w:rsidRDefault="00831CFC" w:rsidP="423A7555">
            <w:pPr>
              <w:pBdr>
                <w:bottom w:val="single" w:sz="8" w:space="1" w:color="5FA8C7"/>
              </w:pBdr>
              <w:spacing w:after="220" w:line="276" w:lineRule="auto"/>
            </w:pPr>
            <w:r>
              <w:rPr>
                <w:rFonts w:ascii="Aptos" w:hAnsi="Aptos"/>
                <w:sz w:val="18"/>
              </w:rPr>
              <w:t>Lo hace con una exigencia que el campo suele saltarse: de 142 estudios revisados sobre sensores de bajo costo, solo 18 compararon sus lecturas con equipos de referencia (Camargo et al., 2023). El problema no es el precio, es la falta de contraste. Aquí la calibración contra instrumento patrón, ejecutada por la comunidad, es requisito de diseño.</w:t>
            </w:r>
          </w:p>
          <w:p w14:paraId="3553825A" w14:textId="07C5DFA5" w:rsidR="423A7555" w:rsidRDefault="00831CFC" w:rsidP="423A7555">
            <w:pPr>
              <w:pBdr>
                <w:bottom w:val="single" w:sz="8" w:space="1" w:color="5FA8C7"/>
              </w:pBdr>
              <w:spacing w:after="220" w:line="276" w:lineRule="auto"/>
            </w:pPr>
            <w:r>
              <w:rPr>
                <w:rFonts w:ascii="Aptos" w:hAnsi="Aptos"/>
                <w:sz w:val="18"/>
              </w:rPr>
            </w:r>
          </w:p>
          <w:p w14:paraId="3553825A" w14:textId="07C5DFA5" w:rsidR="423A7555" w:rsidRDefault="00831CFC" w:rsidP="423A7555">
            <w:pPr>
              <w:pBdr>
                <w:bottom w:val="single" w:sz="8" w:space="1" w:color="5FA8C7"/>
              </w:pBdr>
              <w:spacing w:after="220" w:line="276" w:lineRule="auto"/>
            </w:pPr>
            <w:r>
              <w:rPr>
                <w:rFonts w:ascii="Aptos" w:hAnsi="Aptos"/>
                <w:sz w:val="18"/>
              </w:rPr>
              <w:t>El mensaje que llega al pescador es donde se juega todo. Está escrito en su lengua y no en la de un informe: habla de faena, dice «el Burro» para el viento norte peligroso y «el agua está pesada» cuando baja el oxígeno. En tres o cuatro frases, sin una sola unidad técnica, entrega lo que necesita para decidir: un semáforo de seguridad con la razón que lo explica y una advertencia si hay ráfagas fuertes; cuál de las seis zonas está mejor hoy; si el agua viene poniéndose más salada o más dulce y si el nivel sube o baja; y una acción concreta: «buen día para salir», «sal con precaución» o «mejor espera». Cuando el dato falla, lo dice: «hoy no tengo suficientes lecturas para recomendarte una zona». Esa franqueza es deliberada, porque una recomendación inventada cuesta una faena y, con ella, la confianza.</w:t>
            </w:r>
          </w:p>
          <w:p w14:paraId="3553825A" w14:textId="07C5DFA5" w:rsidR="423A7555" w:rsidRDefault="00831CFC" w:rsidP="423A7555">
            <w:pPr>
              <w:pBdr>
                <w:bottom w:val="single" w:sz="8" w:space="1" w:color="5FA8C7"/>
              </w:pBdr>
              <w:spacing w:after="220" w:line="276" w:lineRule="auto"/>
            </w:pPr>
            <w:r>
              <w:rPr>
                <w:rFonts w:ascii="Aptos" w:hAnsi="Aptos"/>
                <w:sz w:val="18"/>
              </w:rPr>
            </w:r>
          </w:p>
          <w:p w14:paraId="3553825A" w14:textId="07C5DFA5" w:rsidR="423A7555" w:rsidRDefault="00831CFC" w:rsidP="423A7555">
            <w:pPr>
              <w:pBdr>
                <w:bottom w:val="single" w:sz="8" w:space="1" w:color="5FA8C7"/>
              </w:pBdr>
              <w:spacing w:after="220" w:line="276" w:lineRule="auto"/>
            </w:pPr>
            <w:r>
              <w:rPr>
                <w:rFonts w:ascii="Aptos" w:hAnsi="Aptos"/>
                <w:sz w:val="18"/>
              </w:rPr>
              <w:t>Detrás hay una postura. El conocimiento local, centrado en lo particular, y la ciencia, que busca generalizar, se fortalecen al encontrarse (Ibáñez Blancas et al., 2020), y en esta comunidad las artes de pesca siempre han sido configuraciones donde el saber del pescador es estructurante (Carrillo Rada y Mendoza Curvelo, 2021). Por eso se espera articular el despliegue y la coordinación de los dispositivos con el Centro de Interculturalidad, Territorio y Sostenibilidad (CITS) de la Universidad del Magdalena, creado para integrar saberes ancestrales, académicos y tecnológicos en la conservación de ecosistemas estratégicos (Universidad del Magdalena, 2025).</w:t>
            </w:r>
          </w:p>
          <w:p w14:paraId="3553825A" w14:textId="07C5DFA5" w:rsidR="423A7555" w:rsidRDefault="00831CFC" w:rsidP="423A7555">
            <w:pPr>
              <w:pBdr>
                <w:bottom w:val="single" w:sz="8" w:space="1" w:color="5FA8C7"/>
              </w:pBdr>
              <w:spacing w:after="220" w:line="276" w:lineRule="auto"/>
            </w:pPr>
            <w:r>
              <w:rPr>
                <w:rFonts w:ascii="Aptos" w:hAnsi="Aptos"/>
                <w:sz w:val="18"/>
              </w:rPr>
            </w:r>
          </w:p>
          <w:p w14:paraId="3553825A" w14:textId="07C5DFA5" w:rsidR="423A7555" w:rsidRDefault="00831CFC" w:rsidP="423A7555">
            <w:pPr>
              <w:pBdr>
                <w:bottom w:val="single" w:sz="8" w:space="1" w:color="5FA8C7"/>
              </w:pBdr>
              <w:spacing w:after="220" w:line="276" w:lineRule="auto"/>
            </w:pPr>
            <w:r>
              <w:rPr>
                <w:rFonts w:ascii="Aptos" w:hAnsi="Aptos"/>
                <w:sz w:val="18"/>
              </w:rPr>
              <w:t>Inventario tecnológico: prototipo multiparamétrico y guías experimentales de un trabajo de grado en Licenciatura en Química; firmware ESP32; backend CienaNet Bot en FastAPI con más de 200 pruebas automatizadas; tablero CienaRed-Frontend en Next.js; lógica de semáforo e índice experimental por zonas; un módulo de aviso de tormenta aún sin prueba en campo; y un corpus de lenguaje territorial validado con pescadores.</w:t>
            </w:r>
          </w:p>
        </w:tc>
      </w:tr>
    </w:tbl>
    <w:p w14:paraId="60351207" w14:textId="056DE01E" w:rsidR="00831CFC" w:rsidRDefault="423A7555" w:rsidP="423A7555">
      <w:pPr>
        <w:spacing w:after="28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60"/>
      </w:tblGrid>
      <w:tr w:rsidR="423A7555" w14:paraId="52A9EB50" w14:textId="77777777" w:rsidTr="423A7555">
        <w:trPr>
          <w:trHeight w:val="300"/>
        </w:trPr>
        <w:tc>
          <w:tcPr>
            <w:tcW w:w="10245" w:type="dxa"/>
            <w:tcBorders>
              <w:top w:val="single" w:sz="8" w:space="0" w:color="auto"/>
              <w:left w:val="single" w:sz="8" w:space="0" w:color="auto"/>
              <w:bottom w:val="single" w:sz="8" w:space="0" w:color="auto"/>
              <w:right w:val="single" w:sz="8" w:space="0" w:color="auto"/>
            </w:tcBorders>
            <w:shd w:val="clear" w:color="auto" w:fill="1F6E8C"/>
            <w:tcMar>
              <w:top w:w="100" w:type="dxa"/>
              <w:left w:w="150" w:type="dxa"/>
              <w:bottom w:w="100" w:type="dxa"/>
              <w:right w:w="150" w:type="dxa"/>
            </w:tcMar>
          </w:tcPr>
          <w:p w14:paraId="5E5CF753" w14:textId="4C87944F" w:rsidR="423A7555" w:rsidRDefault="423A7555" w:rsidP="423A7555">
            <w:pPr>
              <w:spacing w:line="276" w:lineRule="auto"/>
            </w:pPr>
            <w:r w:rsidRPr="423A7555">
              <w:rPr>
                <w:rFonts w:ascii="Aptos" w:eastAsia="Aptos" w:hAnsi="Aptos" w:cs="Aptos"/>
                <w:b/>
                <w:bCs/>
                <w:color w:val="FFFFFF" w:themeColor="background1"/>
                <w:sz w:val="22"/>
                <w:szCs w:val="22"/>
              </w:rPr>
              <w:t>3. VALOR Y SOSTENIBILIDAD</w:t>
            </w:r>
          </w:p>
        </w:tc>
      </w:tr>
    </w:tbl>
    <w:p w14:paraId="29ED794B" w14:textId="6047CEEA" w:rsidR="0031710B" w:rsidRDefault="423A7555" w:rsidP="423A7555">
      <w:pPr>
        <w:spacing w:after="14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60"/>
      </w:tblGrid>
      <w:tr w:rsidR="423A7555" w14:paraId="5DE4E633" w14:textId="77777777" w:rsidTr="6DAD5ECA">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D6EAF3"/>
            <w:tcMar>
              <w:top w:w="60" w:type="dxa"/>
              <w:left w:w="150" w:type="dxa"/>
              <w:bottom w:w="60" w:type="dxa"/>
              <w:right w:w="150" w:type="dxa"/>
            </w:tcMar>
          </w:tcPr>
          <w:p w14:paraId="10C15096" w14:textId="0A4A1D32" w:rsidR="423A7555" w:rsidRDefault="423A7555" w:rsidP="423A7555">
            <w:pPr>
              <w:spacing w:line="276" w:lineRule="auto"/>
            </w:pPr>
            <w:r w:rsidRPr="423A7555">
              <w:rPr>
                <w:rFonts w:ascii="Aptos" w:eastAsia="Aptos" w:hAnsi="Aptos" w:cs="Aptos"/>
                <w:b/>
                <w:bCs/>
                <w:color w:val="0B3D5C"/>
                <w:sz w:val="20"/>
                <w:szCs w:val="20"/>
              </w:rPr>
              <w:t xml:space="preserve">Descripción de la propuesta de valor </w:t>
            </w:r>
            <w:r w:rsidRPr="423A7555">
              <w:rPr>
                <w:rFonts w:ascii="Aptos" w:eastAsia="Aptos" w:hAnsi="Aptos" w:cs="Aptos"/>
                <w:b/>
                <w:bCs/>
                <w:color w:val="4E95D9"/>
                <w:sz w:val="20"/>
                <w:szCs w:val="20"/>
              </w:rPr>
              <w:t xml:space="preserve">(máximo </w:t>
            </w:r>
            <w:r w:rsidR="00464C55">
              <w:rPr>
                <w:rFonts w:ascii="Aptos" w:eastAsia="Aptos" w:hAnsi="Aptos" w:cs="Aptos"/>
                <w:b/>
                <w:bCs/>
                <w:color w:val="4E95D9"/>
                <w:sz w:val="20"/>
                <w:szCs w:val="20"/>
              </w:rPr>
              <w:t>5</w:t>
            </w:r>
            <w:r w:rsidRPr="423A7555">
              <w:rPr>
                <w:rFonts w:ascii="Aptos" w:eastAsia="Aptos" w:hAnsi="Aptos" w:cs="Aptos"/>
                <w:b/>
                <w:bCs/>
                <w:color w:val="4E95D9"/>
                <w:sz w:val="20"/>
                <w:szCs w:val="20"/>
              </w:rPr>
              <w:t xml:space="preserve">00 </w:t>
            </w:r>
            <w:r w:rsidR="00464C55">
              <w:rPr>
                <w:rFonts w:ascii="Aptos" w:eastAsia="Aptos" w:hAnsi="Aptos" w:cs="Aptos"/>
                <w:b/>
                <w:bCs/>
                <w:color w:val="4E95D9"/>
                <w:sz w:val="20"/>
                <w:szCs w:val="20"/>
              </w:rPr>
              <w:t>palabras</w:t>
            </w:r>
            <w:r w:rsidRPr="423A7555">
              <w:rPr>
                <w:rFonts w:ascii="Aptos" w:eastAsia="Aptos" w:hAnsi="Aptos" w:cs="Aptos"/>
                <w:b/>
                <w:bCs/>
                <w:color w:val="4E95D9"/>
                <w:sz w:val="20"/>
                <w:szCs w:val="20"/>
              </w:rPr>
              <w:t>)</w:t>
            </w:r>
          </w:p>
        </w:tc>
      </w:tr>
      <w:tr w:rsidR="423A7555" w14:paraId="089C1412" w14:textId="77777777" w:rsidTr="6DAD5ECA">
        <w:trPr>
          <w:trHeight w:val="300"/>
        </w:trPr>
        <w:tc>
          <w:tcPr>
            <w:tcW w:w="10245" w:type="dxa"/>
            <w:tcBorders>
              <w:top w:val="single" w:sz="8" w:space="0" w:color="5FA8C7"/>
              <w:left w:val="single" w:sz="8" w:space="0" w:color="5FA8C7"/>
              <w:bottom w:val="single" w:sz="8" w:space="0" w:color="5FA8C7"/>
              <w:right w:val="single" w:sz="8" w:space="0" w:color="5FA8C7"/>
            </w:tcBorders>
            <w:shd w:val="clear" w:color="auto" w:fill="EFF7FB"/>
            <w:tcMar>
              <w:top w:w="150" w:type="dxa"/>
              <w:left w:w="200" w:type="dxa"/>
              <w:bottom w:w="100" w:type="dxa"/>
              <w:right w:w="200" w:type="dxa"/>
            </w:tcMar>
          </w:tcPr>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sz w:val="18"/>
              </w:rPr>
              <w:t>CienaRed genera información ambiental propia y continua de la Ciénaga Grande de Santa Marta y la entrega simultáneamente a quienes la necesitan para vivir y a quienes la necesitan para investigar y gestionar.</w:t>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sz w:val="18"/>
              </w:rPr>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sz w:val="18"/>
              </w:rPr>
              <w:t>Beneficios para la comunidad pesquera. Saber, antes de zarpar, cómo está el agua y el tiempo: la falta de información sobre el estado del tiempo figura entre las causas reconocidas de accidentes en la pesca de pequeña escala (FAO, 2020). Anticiparse a los eventos climáticos adversos y, con igual importancia, a los periodos de abundancia, para planear la faena en lugar de improvisarla. Conocer el estado del agua por zona de pesca y no como un promedio abstracto, lo que evita salidas fallidas que cuestan combustible y jornada. Y contar, por primera vez, con evidencia propia y georreferenciada del deterioro de su ecosistema para participar en las decisiones que se toman sobre él. Todo ello sin sustituir su experiencia: la tecnología complementa el saber del pescador, que es estructurante en la relación de esta comunidad con la laguna (Carrillo Rada y Mendoza Curvelo, 2021).</w:t>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sz w:val="18"/>
              </w:rPr>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sz w:val="18"/>
              </w:rPr>
              <w:t>Población objetivo. Los pescadores artesanales de las comunidades ribereñas y palafíticas de la CGSM, con foco inicial en Tasajera (Pueblo Viejo), Nueva Venecia y Buenavista, donde cerca del 70 % de la población depende de la pesca artesanal y el índice de pobreza multidimensional supera el 85 % (Ruiz-Guevara et al., 2025). Son comunidades con alfabetización digital baja a media y conectividad intermitente, razón por la cual el canal es WhatsApp y no una aplicación propia.</w:t>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sz w:val="18"/>
              </w:rPr>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sz w:val="18"/>
              </w:rPr>
              <w:t>Segundo destinatario y valor compartido. La misma infraestructura produce una serie de tiempo in situ, continua y georreferenciada, que hoy no existe: el monitoreo institucional opera por campañas (INVEMAR, 2023) y las estaciones fijas son indispensables para entender un sistema estuarino y para calibrar los productos satelitales (Salama et al., 2022). Ese activo interesa a INVEMAR, CORPAMAG, las alcaldías ribereñas, la Universidad del Magdalena y los grupos de investigación en ciencias del mar, que obtienen datos de campo a costo marginal.</w:t>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sz w:val="18"/>
              </w:rPr>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sz w:val="18"/>
              </w:rPr>
              <w:t>Aliados e inversionistas potenciales. Universidad del Magdalena (estrategia Aluna IA, Vicerrectoría de Investigación y CIE) como custodio del soporte digital; INVEMAR y CORPAMAG como usuarios y posibles cofinanciadores del fondo de reposición a cambio de datos en tiempo casi real; alcaldías de Pueblo Viejo, Sitionuevo y Ciénaga, consejos comunitarios y asociaciones de pescadores como socios de gobernanza; y programas de cooperación en economía azul como financiadores de la expansión de la red.</w:t>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sz w:val="18"/>
              </w:rPr>
            </w:r>
          </w:p>
          <w:p w14:paraId="61B04157" w14:textId="6DA1D29C" w:rsidR="423A7555" w:rsidRPr="00AD2ABF" w:rsidRDefault="005F0A2C" w:rsidP="6DAD5ECA">
            <w:pPr>
              <w:pBdr>
                <w:bottom w:val="single" w:sz="8" w:space="1" w:color="5FA8C7"/>
              </w:pBdr>
              <w:spacing w:after="220" w:line="276" w:lineRule="auto"/>
              <w:rPr>
                <w:rFonts w:ascii="Aptos" w:eastAsia="Aptos" w:hAnsi="Aptos" w:cs="Aptos"/>
                <w:i/>
                <w:iCs/>
              </w:rPr>
            </w:pPr>
            <w:r>
              <w:rPr>
                <w:rFonts w:ascii="Aptos" w:hAnsi="Aptos"/>
                <w:sz w:val="18"/>
              </w:rPr>
              <w:t>Sostenibilidad. El nodo cuesta cerca de 450.000 COP frente a más de 15.000.000 COP de una estación hidrológica comercial, con una operación anual estimada de 300.000 COP. La calibración la ejecuta la propia comunidad y la producción a escala para otras entidades ambientales subsidia los repuestos comunitarios. Así, la transición hacia un modelo de economía azul —aún de aplicación limitada en América Latina (Rojas-Díaz y Gil-Marín, 2022)— se apoya en fortalecer los medios de vida locales, no en extraer más recurso.</w:t>
            </w:r>
          </w:p>
        </w:tc>
      </w:tr>
    </w:tbl>
    <w:p w14:paraId="6107BF78" w14:textId="03E62B80" w:rsidR="0031710B" w:rsidRDefault="423A7555" w:rsidP="423A7555">
      <w:pPr>
        <w:spacing w:after="200" w:line="276" w:lineRule="auto"/>
        <w:jc w:val="both"/>
      </w:pPr>
      <w:r w:rsidRPr="423A7555">
        <w:rPr>
          <w:rFonts w:ascii="Aptos" w:eastAsia="Aptos" w:hAnsi="Aptos" w:cs="Aptos"/>
          <w:lang w:val="es-ES"/>
        </w:rPr>
        <w:lastRenderedPageBreak/>
        <w:t xml:space="preserve"> </w:t>
      </w:r>
    </w:p>
    <w:tbl>
      <w:tblPr>
        <w:tblW w:w="0" w:type="auto"/>
        <w:tblLook w:val="04A0" w:firstRow="1" w:lastRow="0" w:firstColumn="1" w:lastColumn="0" w:noHBand="0" w:noVBand="1"/>
      </w:tblPr>
      <w:tblGrid>
        <w:gridCol w:w="10060"/>
      </w:tblGrid>
      <w:tr w:rsidR="423A7555" w14:paraId="026027B4" w14:textId="77777777" w:rsidTr="00BC00D7">
        <w:trPr>
          <w:trHeight w:val="300"/>
        </w:trPr>
        <w:tc>
          <w:tcPr>
            <w:tcW w:w="10060" w:type="dxa"/>
            <w:tcBorders>
              <w:top w:val="single" w:sz="8" w:space="0" w:color="5FA8C7"/>
              <w:left w:val="single" w:sz="8" w:space="0" w:color="5FA8C7"/>
              <w:bottom w:val="single" w:sz="8" w:space="0" w:color="5FA8C7"/>
              <w:right w:val="single" w:sz="8" w:space="0" w:color="5FA8C7"/>
            </w:tcBorders>
            <w:shd w:val="clear" w:color="auto" w:fill="D6EAF3"/>
            <w:tcMar>
              <w:top w:w="60" w:type="dxa"/>
              <w:left w:w="150" w:type="dxa"/>
              <w:bottom w:w="60" w:type="dxa"/>
              <w:right w:w="150" w:type="dxa"/>
            </w:tcMar>
          </w:tcPr>
          <w:p w14:paraId="509CB4B8" w14:textId="4E362330" w:rsidR="423A7555" w:rsidRDefault="423A7555" w:rsidP="423A7555">
            <w:pPr>
              <w:spacing w:line="276" w:lineRule="auto"/>
            </w:pPr>
            <w:r w:rsidRPr="423A7555">
              <w:rPr>
                <w:rFonts w:ascii="Aptos" w:eastAsia="Aptos" w:hAnsi="Aptos" w:cs="Aptos"/>
                <w:b/>
                <w:bCs/>
                <w:color w:val="0B3D5C"/>
                <w:sz w:val="20"/>
                <w:szCs w:val="20"/>
              </w:rPr>
              <w:t xml:space="preserve">Viabilidad económica </w:t>
            </w:r>
            <w:r w:rsidRPr="423A7555">
              <w:rPr>
                <w:rFonts w:ascii="Aptos" w:eastAsia="Aptos" w:hAnsi="Aptos" w:cs="Aptos"/>
                <w:b/>
                <w:bCs/>
                <w:color w:val="4E95D9"/>
                <w:sz w:val="20"/>
                <w:szCs w:val="20"/>
              </w:rPr>
              <w:t xml:space="preserve">(máximo </w:t>
            </w:r>
            <w:r w:rsidR="00464C55">
              <w:rPr>
                <w:rFonts w:ascii="Aptos" w:eastAsia="Aptos" w:hAnsi="Aptos" w:cs="Aptos"/>
                <w:b/>
                <w:bCs/>
                <w:color w:val="4E95D9"/>
                <w:sz w:val="20"/>
                <w:szCs w:val="20"/>
              </w:rPr>
              <w:t>5</w:t>
            </w:r>
            <w:r w:rsidRPr="423A7555">
              <w:rPr>
                <w:rFonts w:ascii="Aptos" w:eastAsia="Aptos" w:hAnsi="Aptos" w:cs="Aptos"/>
                <w:b/>
                <w:bCs/>
                <w:color w:val="4E95D9"/>
                <w:sz w:val="20"/>
                <w:szCs w:val="20"/>
              </w:rPr>
              <w:t>00 caracteres)</w:t>
            </w:r>
          </w:p>
        </w:tc>
      </w:tr>
      <w:tr w:rsidR="423A7555" w14:paraId="726CA625" w14:textId="77777777" w:rsidTr="00BC00D7">
        <w:trPr>
          <w:trHeight w:val="300"/>
        </w:trPr>
        <w:tc>
          <w:tcPr>
            <w:tcW w:w="10060" w:type="dxa"/>
            <w:tcBorders>
              <w:top w:val="single" w:sz="8" w:space="0" w:color="5FA8C7"/>
              <w:left w:val="single" w:sz="8" w:space="0" w:color="5FA8C7"/>
              <w:bottom w:val="single" w:sz="8" w:space="0" w:color="5FA8C7"/>
              <w:right w:val="single" w:sz="8" w:space="0" w:color="5FA8C7"/>
            </w:tcBorders>
            <w:shd w:val="clear" w:color="auto" w:fill="EFF7FB"/>
            <w:tcMar>
              <w:top w:w="150" w:type="dxa"/>
              <w:left w:w="200" w:type="dxa"/>
              <w:bottom w:w="100" w:type="dxa"/>
              <w:right w:w="200" w:type="dxa"/>
            </w:tcMar>
          </w:tcPr>
          <w:p w14:paraId="60A9716F" w14:textId="77C3BD6D" w:rsidR="423A7555" w:rsidRPr="00AD2ABF" w:rsidRDefault="00BC00D7" w:rsidP="423A7555">
            <w:pPr>
              <w:spacing w:after="100" w:line="276" w:lineRule="auto"/>
              <w:rPr>
                <w:rFonts w:ascii="Aptos" w:eastAsia="Aptos" w:hAnsi="Aptos" w:cs="Aptos"/>
                <w:b/>
                <w:bCs/>
                <w:i/>
                <w:iCs/>
                <w:sz w:val="18"/>
                <w:szCs w:val="18"/>
              </w:rPr>
            </w:pPr>
            <w:r>
              <w:rPr>
                <w:rFonts w:ascii="Aptos" w:hAnsi="Aptos"/>
                <w:sz w:val="18"/>
              </w:rPr>
              <w:t>Fabricación por nodo: ~$450.000 COP (ESP32 $35.000; sonda de pH $100.000; conductividad/TDS $55.000; temperatura $25.000; OLED $30.000; carcasa IP65/IP67 $65.000; accesorios $100.000; energía $40.000), más módulo LoRa; frente a &gt;$15.000.000 de una estación hidrológica comercial y a los USD 674 de una plataforma LoRaWAN equivalente (Gómez-Henk et al., 2026). Operación: $300.000/nodo/año (calibración, reposición de sonda, capacitación). Backend e IA: contrapartida académica Unimagdalena.</w:t>
            </w:r>
          </w:p>
        </w:tc>
      </w:tr>
    </w:tbl>
    <w:p w14:paraId="509AF2FA" w14:textId="7A3478FC" w:rsidR="0031710B" w:rsidRDefault="423A7555" w:rsidP="423A7555">
      <w:pPr>
        <w:spacing w:after="280" w:line="276" w:lineRule="auto"/>
        <w:jc w:val="both"/>
      </w:pPr>
      <w:r w:rsidRPr="423A7555">
        <w:rPr>
          <w:rFonts w:ascii="Aptos" w:eastAsia="Aptos" w:hAnsi="Aptos" w:cs="Aptos"/>
          <w:lang w:val="es-ES"/>
        </w:rPr>
        <w:t xml:space="preserve"> </w:t>
      </w:r>
    </w:p>
    <w:tbl>
      <w:tblPr>
        <w:tblW w:w="9795" w:type="dxa"/>
        <w:tblLook w:val="04A0" w:firstRow="1" w:lastRow="0" w:firstColumn="1" w:lastColumn="0" w:noHBand="0" w:noVBand="1"/>
      </w:tblPr>
      <w:tblGrid>
        <w:gridCol w:w="9795"/>
      </w:tblGrid>
      <w:tr w:rsidR="423A7555" w14:paraId="2DF5DCA8" w14:textId="77777777" w:rsidTr="6DAD5ECA">
        <w:trPr>
          <w:trHeight w:val="300"/>
        </w:trPr>
        <w:tc>
          <w:tcPr>
            <w:tcW w:w="9795" w:type="dxa"/>
            <w:tcBorders>
              <w:top w:val="single" w:sz="8" w:space="0" w:color="auto"/>
              <w:left w:val="single" w:sz="8" w:space="0" w:color="auto"/>
              <w:bottom w:val="single" w:sz="8" w:space="0" w:color="auto"/>
              <w:right w:val="single" w:sz="8" w:space="0" w:color="auto"/>
            </w:tcBorders>
            <w:shd w:val="clear" w:color="auto" w:fill="1F6E8C"/>
            <w:tcMar>
              <w:top w:w="100" w:type="dxa"/>
              <w:left w:w="150" w:type="dxa"/>
              <w:bottom w:w="100" w:type="dxa"/>
              <w:right w:w="150" w:type="dxa"/>
            </w:tcMar>
          </w:tcPr>
          <w:p w14:paraId="0C5FC423" w14:textId="6B9B5A71" w:rsidR="423A7555" w:rsidRDefault="423A7555" w:rsidP="423A7555">
            <w:pPr>
              <w:spacing w:line="276" w:lineRule="auto"/>
            </w:pPr>
            <w:r w:rsidRPr="423A7555">
              <w:rPr>
                <w:rFonts w:ascii="Aptos" w:eastAsia="Aptos" w:hAnsi="Aptos" w:cs="Aptos"/>
                <w:b/>
                <w:bCs/>
                <w:color w:val="FFFFFF" w:themeColor="background1"/>
                <w:sz w:val="22"/>
                <w:szCs w:val="22"/>
              </w:rPr>
              <w:t>4. TRANSFERIBILIDAD</w:t>
            </w:r>
          </w:p>
        </w:tc>
      </w:tr>
      <w:tr w:rsidR="423A7555" w14:paraId="44051B09" w14:textId="77777777" w:rsidTr="6DAD5ECA">
        <w:trPr>
          <w:trHeight w:val="300"/>
        </w:trPr>
        <w:tc>
          <w:tcPr>
            <w:tcW w:w="9795" w:type="dxa"/>
            <w:tcBorders>
              <w:top w:val="single" w:sz="8" w:space="0" w:color="5FA8C7"/>
              <w:left w:val="single" w:sz="8" w:space="0" w:color="5FA8C7"/>
              <w:bottom w:val="single" w:sz="8" w:space="0" w:color="5FA8C7"/>
              <w:right w:val="single" w:sz="8" w:space="0" w:color="5FA8C7"/>
            </w:tcBorders>
            <w:shd w:val="clear" w:color="auto" w:fill="D6EAF3"/>
            <w:tcMar>
              <w:top w:w="60" w:type="dxa"/>
              <w:left w:w="150" w:type="dxa"/>
              <w:bottom w:w="60" w:type="dxa"/>
              <w:right w:w="150" w:type="dxa"/>
            </w:tcMar>
          </w:tcPr>
          <w:p w14:paraId="045173EA" w14:textId="75275B12" w:rsidR="423A7555" w:rsidRDefault="423A7555" w:rsidP="423A7555">
            <w:pPr>
              <w:spacing w:line="276" w:lineRule="auto"/>
            </w:pPr>
            <w:r w:rsidRPr="423A7555">
              <w:rPr>
                <w:rFonts w:ascii="Aptos" w:eastAsia="Aptos" w:hAnsi="Aptos" w:cs="Aptos"/>
                <w:b/>
                <w:bCs/>
                <w:color w:val="0B3D5C"/>
                <w:sz w:val="20"/>
                <w:szCs w:val="20"/>
              </w:rPr>
              <w:t xml:space="preserve">Transferibilidad </w:t>
            </w:r>
            <w:r w:rsidRPr="423A7555">
              <w:rPr>
                <w:rFonts w:ascii="Aptos" w:eastAsia="Aptos" w:hAnsi="Aptos" w:cs="Aptos"/>
                <w:b/>
                <w:bCs/>
                <w:color w:val="4E95D9"/>
                <w:sz w:val="20"/>
                <w:szCs w:val="20"/>
              </w:rPr>
              <w:t>(máximo 600 caracteres)</w:t>
            </w:r>
          </w:p>
        </w:tc>
      </w:tr>
      <w:tr w:rsidR="423A7555" w14:paraId="6505BD60" w14:textId="77777777" w:rsidTr="6DAD5ECA">
        <w:trPr>
          <w:trHeight w:val="300"/>
        </w:trPr>
        <w:tc>
          <w:tcPr>
            <w:tcW w:w="9795" w:type="dxa"/>
            <w:tcBorders>
              <w:top w:val="single" w:sz="8" w:space="0" w:color="5FA8C7"/>
              <w:left w:val="single" w:sz="8" w:space="0" w:color="5FA8C7"/>
              <w:bottom w:val="single" w:sz="8" w:space="0" w:color="5FA8C7"/>
              <w:right w:val="single" w:sz="8" w:space="0" w:color="5FA8C7"/>
            </w:tcBorders>
            <w:shd w:val="clear" w:color="auto" w:fill="EFF7FB"/>
            <w:tcMar>
              <w:top w:w="150" w:type="dxa"/>
              <w:left w:w="200" w:type="dxa"/>
              <w:bottom w:w="100" w:type="dxa"/>
              <w:right w:w="200" w:type="dxa"/>
            </w:tcMar>
          </w:tcPr>
          <w:p w14:paraId="36D3F518" w14:textId="33C22DC0" w:rsidR="423A7555" w:rsidRPr="00AD2ABF" w:rsidRDefault="00E70CA7" w:rsidP="423A7555">
            <w:pPr>
              <w:spacing w:after="100" w:line="276" w:lineRule="auto"/>
            </w:pPr>
            <w:proofErr w:type="spellStart"/>
            <w:proofErr w:type="spellEnd"/>
            <w:r>
              <w:rPr>
                <w:rFonts w:ascii="Aptos" w:hAnsi="Aptos"/>
                <w:sz w:val="18"/>
              </w:rPr>
              <w:t>El sistema es agnóstico al cuerpo de agua: basta redefinir el polígono de consulta, las zonas de pesca y los umbrales para replicarlo en otras ciénagas, bahías y lagunas costeras del Caribe (Zapatosa, Cispatá, Canal del Dique) o del Gran Caribe. Las fuentes satelitales y meteorológicas son globales y abiertas; el hardware es libre y replicable a ~$450.000 por nodo; y LoRa resuelve la transmisión donde no hay cobertura celular (Gómez-Henk et al., 2026). Lo único que se recalibra localmente son los umbrales y el lenguaje, mediante el protocolo de co-diseño comunitario.</w:t>
            </w:r>
          </w:p>
        </w:tc>
      </w:tr>
    </w:tbl>
    <w:p>
      <w:pPr>
        <w:spacing w:after="0" w:before="0"/>
        <w:jc w:val="left"/>
      </w:pPr>
      <w:r>
        <w:rPr>
          <w:b w:val="0"/>
          <w:i w:val="0"/>
          <w:sz w:val="18"/>
        </w:rPr>
      </w:r>
    </w:p>
    <w:p>
      <w:pPr>
        <w:spacing w:after="160" w:before="0"/>
        <w:jc w:val="left"/>
      </w:pPr>
      <w:r>
        <w:rPr>
          <w:b/>
          <w:i w:val="0"/>
          <w:sz w:val="18"/>
        </w:rPr>
        <w:t>REFERENCIAS (normas APA, 7.ª edición)</w:t>
      </w:r>
    </w:p>
    <w:p>
      <w:pPr>
        <w:spacing w:after="120" w:before="0"/>
        <w:ind w:left="720" w:hanging="720"/>
        <w:jc w:val="left"/>
      </w:pPr>
      <w:r>
        <w:rPr>
          <w:b w:val="0"/>
          <w:i w:val="0"/>
          <w:sz w:val="18"/>
        </w:rPr>
        <w:t xml:space="preserve">Autoridad Nacional de Licencias Ambientales. (2025). </w:t>
      </w:r>
      <w:r>
        <w:rPr>
          <w:b w:val="0"/>
          <w:i/>
          <w:sz w:val="18"/>
        </w:rPr>
        <w:t>Reporte de análisis regional: Ciénaga Grande de Santa Marta y ríos Ariguaní, Piedras y Manzanares</w:t>
      </w:r>
      <w:r>
        <w:rPr>
          <w:b w:val="0"/>
          <w:i w:val="0"/>
          <w:sz w:val="18"/>
        </w:rPr>
        <w:t>. ANLA. https://www.anla.gov.co/images/documentos/reportes-alertas/2026-04-09-anla-rar-Cga-Grande-Santa-Marta-2025.pdf</w:t>
      </w:r>
    </w:p>
    <w:p>
      <w:pPr>
        <w:spacing w:after="120" w:before="0"/>
        <w:ind w:left="720" w:hanging="720"/>
        <w:jc w:val="left"/>
      </w:pPr>
      <w:r>
        <w:rPr>
          <w:b w:val="0"/>
          <w:i w:val="0"/>
          <w:sz w:val="18"/>
        </w:rPr>
        <w:t xml:space="preserve">Bernal Suarez, W. F., Páez Guevara, L. A., Villamil Moreno, L. P. y Riaño Castillo, E. R. (2024). Sistema automatizado soportado en IoT para monitoreo de calidad de agua en sistemas acuapónicos. </w:t>
      </w:r>
      <w:r>
        <w:rPr>
          <w:b w:val="0"/>
          <w:i/>
          <w:sz w:val="18"/>
        </w:rPr>
        <w:t>Ciencia en Desarrollo, 15</w:t>
      </w:r>
      <w:r>
        <w:rPr>
          <w:b w:val="0"/>
          <w:i w:val="0"/>
          <w:sz w:val="18"/>
        </w:rPr>
        <w:t>(1), 194-204. https://doi.org/10.19053/01217488.v15.n1.2024.15933</w:t>
      </w:r>
    </w:p>
    <w:p>
      <w:pPr>
        <w:spacing w:after="120" w:before="0"/>
        <w:ind w:left="720" w:hanging="720"/>
        <w:jc w:val="left"/>
      </w:pPr>
      <w:r>
        <w:rPr>
          <w:b w:val="0"/>
          <w:i w:val="0"/>
          <w:sz w:val="18"/>
        </w:rPr>
        <w:t xml:space="preserve">Berrio Quintanilla, K. J., Huayta Cosi, P. L., Huarca Quispe, J. L., Cutipa Luque, J. C. y Julca Avila, J. P. (2025). Implementation of a dynamic LoRa network for real-time monitoring of water quality. </w:t>
      </w:r>
      <w:r>
        <w:rPr>
          <w:b w:val="0"/>
          <w:i/>
          <w:sz w:val="18"/>
        </w:rPr>
        <w:t>Designs, 9</w:t>
      </w:r>
      <w:r>
        <w:rPr>
          <w:b w:val="0"/>
          <w:i w:val="0"/>
          <w:sz w:val="18"/>
        </w:rPr>
        <w:t>(4), 96. https://doi.org/10.3390/designs9040096</w:t>
      </w:r>
    </w:p>
    <w:p>
      <w:pPr>
        <w:spacing w:after="120" w:before="0"/>
        <w:ind w:left="720" w:hanging="720"/>
        <w:jc w:val="left"/>
      </w:pPr>
      <w:r>
        <w:rPr>
          <w:b w:val="0"/>
          <w:i w:val="0"/>
          <w:sz w:val="18"/>
        </w:rPr>
        <w:t xml:space="preserve">Camargo, E. T. de, Spanhol, F. A., Slongo, J. S., Silva, M. V. R. da, Pazinato, J., Lobo, A. V. de L., Coutinho, F. R., Pfrimer, F. W. D., Lindino, C. A., Oyamada, M. S. y Martins, L. D. (2023). Low-cost water quality sensors for IoT: A systematic review. </w:t>
      </w:r>
      <w:r>
        <w:rPr>
          <w:b w:val="0"/>
          <w:i/>
          <w:sz w:val="18"/>
        </w:rPr>
        <w:t>Sensors, 23</w:t>
      </w:r>
      <w:r>
        <w:rPr>
          <w:b w:val="0"/>
          <w:i w:val="0"/>
          <w:sz w:val="18"/>
        </w:rPr>
        <w:t>(9), 4424. https://doi.org/10.3390/s23094424</w:t>
      </w:r>
    </w:p>
    <w:p>
      <w:pPr>
        <w:spacing w:after="120" w:before="0"/>
        <w:ind w:left="720" w:hanging="720"/>
        <w:jc w:val="left"/>
      </w:pPr>
      <w:r>
        <w:rPr>
          <w:b w:val="0"/>
          <w:i w:val="0"/>
          <w:sz w:val="18"/>
        </w:rPr>
        <w:t xml:space="preserve">Carrillo Rada, W. y Mendoza Curvelo, M. A. (2021). Implicaciones sociomateriales de las tecnologías pesqueras en una comunidad de la Ciénaga Grande de Santa Marta, Colombia. </w:t>
      </w:r>
      <w:r>
        <w:rPr>
          <w:b w:val="0"/>
          <w:i/>
          <w:sz w:val="18"/>
        </w:rPr>
        <w:t>Jangwa Pana, 20</w:t>
      </w:r>
      <w:r>
        <w:rPr>
          <w:b w:val="0"/>
          <w:i w:val="0"/>
          <w:sz w:val="18"/>
        </w:rPr>
        <w:t>(2), 303-324. https://doi.org/10.21676/16574923.4178</w:t>
      </w:r>
    </w:p>
    <w:p>
      <w:pPr>
        <w:spacing w:after="120" w:before="0"/>
        <w:ind w:left="720" w:hanging="720"/>
        <w:jc w:val="left"/>
      </w:pPr>
      <w:r>
        <w:rPr>
          <w:b w:val="0"/>
          <w:i w:val="0"/>
          <w:sz w:val="18"/>
        </w:rPr>
        <w:t xml:space="preserve">Delgado, A., Briciu-Burghina, C. y Regan, F. (2021). Antifouling strategies for sensors used in water monitoring: Review and future perspectives. </w:t>
      </w:r>
      <w:r>
        <w:rPr>
          <w:b w:val="0"/>
          <w:i/>
          <w:sz w:val="18"/>
        </w:rPr>
        <w:t>Sensors, 21</w:t>
      </w:r>
      <w:r>
        <w:rPr>
          <w:b w:val="0"/>
          <w:i w:val="0"/>
          <w:sz w:val="18"/>
        </w:rPr>
        <w:t>(2), 389. https://doi.org/10.3390/s21020389</w:t>
      </w:r>
    </w:p>
    <w:p>
      <w:pPr>
        <w:spacing w:after="120" w:before="0"/>
        <w:ind w:left="720" w:hanging="720"/>
        <w:jc w:val="left"/>
      </w:pPr>
      <w:r>
        <w:rPr>
          <w:b w:val="0"/>
          <w:i w:val="0"/>
          <w:sz w:val="18"/>
        </w:rPr>
        <w:t xml:space="preserve">Gómez-Henk, C. A. G., Daraviña-Peña, G. C., Mesa-Montoya, C. A., Deluque-Toro, C., Ariza-Echeverri, E. A. y Vergara, D. (2026). Design and functional implementation of a low-cost LoRaWAN-enabled multi-sensor platform for decentralized water quality applications. </w:t>
      </w:r>
      <w:r>
        <w:rPr>
          <w:b w:val="0"/>
          <w:i/>
          <w:sz w:val="18"/>
        </w:rPr>
        <w:t>Applied Sciences, 16</w:t>
      </w:r>
      <w:r>
        <w:rPr>
          <w:b w:val="0"/>
          <w:i w:val="0"/>
          <w:sz w:val="18"/>
        </w:rPr>
        <w:t>(15), 7547. https://doi.org/10.3390/app16157547</w:t>
      </w:r>
    </w:p>
    <w:p>
      <w:pPr>
        <w:spacing w:after="120" w:before="0"/>
        <w:ind w:left="720" w:hanging="720"/>
        <w:jc w:val="left"/>
      </w:pPr>
      <w:r>
        <w:rPr>
          <w:b w:val="0"/>
          <w:i w:val="0"/>
          <w:sz w:val="18"/>
        </w:rPr>
        <w:t xml:space="preserve">Ibáñez Blancas, N., Isch L., E., Panario, D., Gutiérrez, O. y Zambrano C., Á. (2020). El cambio climático y los conocimientos tradicionales, miradas desde Sudamérica. </w:t>
      </w:r>
      <w:r>
        <w:rPr>
          <w:b w:val="0"/>
          <w:i/>
          <w:sz w:val="18"/>
        </w:rPr>
        <w:t>Terra. Nueva Etapa, 36</w:t>
      </w:r>
      <w:r>
        <w:rPr>
          <w:b w:val="0"/>
          <w:i w:val="0"/>
          <w:sz w:val="18"/>
        </w:rPr>
        <w:t>(59). https://www.redalyc.org/journal/721/72166221005/html/</w:t>
      </w:r>
    </w:p>
    <w:p>
      <w:pPr>
        <w:spacing w:after="120" w:before="0"/>
        <w:ind w:left="720" w:hanging="720"/>
        <w:jc w:val="left"/>
      </w:pPr>
      <w:r>
        <w:rPr>
          <w:b w:val="0"/>
          <w:i w:val="0"/>
          <w:sz w:val="18"/>
        </w:rPr>
        <w:t xml:space="preserve">Instituto de Investigaciones Marinas y Costeras. (2023). </w:t>
      </w:r>
      <w:r>
        <w:rPr>
          <w:b w:val="0"/>
          <w:i/>
          <w:sz w:val="18"/>
        </w:rPr>
        <w:t>Monitoreo de las condiciones ambientales y los cambios estructurales y funcionales de las comunidades vegetales y de los recursos pesqueros durante la rehabilitación de la Ciénaga Grande de Santa Marta</w:t>
      </w:r>
      <w:r>
        <w:rPr>
          <w:b w:val="0"/>
          <w:i w:val="0"/>
          <w:sz w:val="18"/>
        </w:rPr>
        <w:t xml:space="preserve"> (Informe Técnico Final N.º 2023-22). INVEMAR. https://portal.invemar.org.co/documents/10182/303308/ITF_CGSM_Web.pdf</w:t>
      </w:r>
    </w:p>
    <w:p>
      <w:pPr>
        <w:spacing w:after="120" w:before="0"/>
        <w:ind w:left="720" w:hanging="720"/>
        <w:jc w:val="left"/>
      </w:pPr>
      <w:r>
        <w:rPr>
          <w:b w:val="0"/>
          <w:i w:val="0"/>
          <w:sz w:val="18"/>
        </w:rPr>
        <w:t xml:space="preserve">Martin, S., Bryère, P., Gernez, P., Renosh, P. R. y Doxaran, D. (2025). Towards reliable high-resolution satellite products for the monitoring of chlorophyll-a and suspended particulate matter in optically shallow coastal lagoons. </w:t>
      </w:r>
      <w:r>
        <w:rPr>
          <w:b w:val="0"/>
          <w:i/>
          <w:sz w:val="18"/>
        </w:rPr>
        <w:t>Remote Sensing, 17</w:t>
      </w:r>
      <w:r>
        <w:rPr>
          <w:b w:val="0"/>
          <w:i w:val="0"/>
          <w:sz w:val="18"/>
        </w:rPr>
        <w:t>(20), 3430. https://doi.org/10.3390/rs17203430</w:t>
      </w:r>
    </w:p>
    <w:p>
      <w:pPr>
        <w:spacing w:after="120" w:before="0"/>
        <w:ind w:left="720" w:hanging="720"/>
        <w:jc w:val="left"/>
      </w:pPr>
      <w:r>
        <w:rPr>
          <w:b w:val="0"/>
          <w:i w:val="0"/>
          <w:sz w:val="18"/>
        </w:rPr>
        <w:t xml:space="preserve">Organización de las Naciones Unidas para la Alimentación y la Agricultura. (2020). </w:t>
      </w:r>
      <w:r>
        <w:rPr>
          <w:b w:val="0"/>
          <w:i/>
          <w:sz w:val="18"/>
        </w:rPr>
        <w:t>Seguridad de los pescadores en pequeña escala en el mar</w:t>
      </w:r>
      <w:r>
        <w:rPr>
          <w:b w:val="0"/>
          <w:i w:val="0"/>
          <w:sz w:val="18"/>
        </w:rPr>
        <w:t>. FAO. https://www.fao.org/3/ca5772es/CA5772ES.pdf</w:t>
      </w:r>
    </w:p>
    <w:p>
      <w:pPr>
        <w:spacing w:after="120" w:before="0"/>
        <w:ind w:left="720" w:hanging="720"/>
        <w:jc w:val="left"/>
      </w:pPr>
      <w:r>
        <w:rPr>
          <w:b w:val="0"/>
          <w:i w:val="0"/>
          <w:sz w:val="18"/>
        </w:rPr>
        <w:t xml:space="preserve">Rojas-Díaz, P. J. y Gil-Marín, M. J. (2022). Economía azul para un mundo de negocios sostenibles. Una revisión de literatura científica. </w:t>
      </w:r>
      <w:r>
        <w:rPr>
          <w:b w:val="0"/>
          <w:i/>
          <w:sz w:val="18"/>
        </w:rPr>
        <w:t>Revista Arbitrada Interdisciplinaria Koinonía, 7</w:t>
      </w:r>
      <w:r>
        <w:rPr>
          <w:b w:val="0"/>
          <w:i w:val="0"/>
          <w:sz w:val="18"/>
        </w:rPr>
        <w:t>(14), 69-80. https://doi.org/10.35381/r.k.v7i14.1863</w:t>
      </w:r>
    </w:p>
    <w:p>
      <w:pPr>
        <w:spacing w:after="120" w:before="0"/>
        <w:ind w:left="720" w:hanging="720"/>
        <w:jc w:val="left"/>
      </w:pPr>
      <w:r>
        <w:rPr>
          <w:b w:val="0"/>
          <w:i w:val="0"/>
          <w:sz w:val="18"/>
        </w:rPr>
        <w:t xml:space="preserve">Ruiz-Guevara, S. M., Quintero-Castañeda, C. Y., Hernández-Angulo, L. R. y Sierra-Carrillo, M. M. (2025). Environmental psychology and mangrove reforestation in the Ciénaga Grande de Santa Marta, Colombia: An approach to ecosystem restoration. </w:t>
      </w:r>
      <w:r>
        <w:rPr>
          <w:b w:val="0"/>
          <w:i/>
          <w:sz w:val="18"/>
        </w:rPr>
        <w:t>World, 6</w:t>
      </w:r>
      <w:r>
        <w:rPr>
          <w:b w:val="0"/>
          <w:i w:val="0"/>
          <w:sz w:val="18"/>
        </w:rPr>
        <w:t>(1), 24. https://doi.org/10.3390/world6010024</w:t>
      </w:r>
    </w:p>
    <w:p>
      <w:pPr>
        <w:spacing w:after="120" w:before="0"/>
        <w:ind w:left="720" w:hanging="720"/>
        <w:jc w:val="left"/>
      </w:pPr>
      <w:r>
        <w:rPr>
          <w:b w:val="0"/>
          <w:i w:val="0"/>
          <w:sz w:val="18"/>
        </w:rPr>
        <w:t xml:space="preserve">Salama, M. S., Spaias, L., Poser, K., Peters, S. y Laanen, M. (2022). Validation of Sentinel-2 (MSI) and Sentinel-3 (OLCI) water quality products in turbid estuaries using fixed monitoring stations. </w:t>
      </w:r>
      <w:r>
        <w:rPr>
          <w:b w:val="0"/>
          <w:i/>
          <w:sz w:val="18"/>
        </w:rPr>
        <w:t>Frontiers in Remote Sensing, 2</w:t>
      </w:r>
      <w:r>
        <w:rPr>
          <w:b w:val="0"/>
          <w:i w:val="0"/>
          <w:sz w:val="18"/>
        </w:rPr>
        <w:t>, 808287. https://doi.org/10.3389/frsen.2021.808287</w:t>
      </w:r>
    </w:p>
    <w:p>
      <w:pPr>
        <w:spacing w:after="120" w:before="0"/>
        <w:ind w:left="720" w:hanging="720"/>
        <w:jc w:val="left"/>
      </w:pPr>
      <w:r>
        <w:rPr>
          <w:b w:val="0"/>
          <w:i w:val="0"/>
          <w:sz w:val="18"/>
        </w:rPr>
        <w:t xml:space="preserve">Slongo, J., Lindino, C., Martins, L. D., Spanhol, F. A., Carneiro, E. y Camargo, E. T. (2024). Evaluation of low-cost sensors to integrate in a water quality monitor for real-time measurements. </w:t>
      </w:r>
      <w:r>
        <w:rPr>
          <w:b w:val="0"/>
          <w:i/>
          <w:sz w:val="18"/>
        </w:rPr>
        <w:t>Environmental Monitoring and Assessment, 196</w:t>
      </w:r>
      <w:r>
        <w:rPr>
          <w:b w:val="0"/>
          <w:i w:val="0"/>
          <w:sz w:val="18"/>
        </w:rPr>
        <w:t>(8), 716. https://doi.org/10.1007/s10661-024-12884-9</w:t>
      </w:r>
    </w:p>
    <w:p>
      <w:pPr>
        <w:spacing w:after="120" w:before="0"/>
        <w:ind w:left="720" w:hanging="720"/>
        <w:jc w:val="left"/>
      </w:pPr>
      <w:r>
        <w:rPr>
          <w:b w:val="0"/>
          <w:i w:val="0"/>
          <w:sz w:val="18"/>
        </w:rPr>
        <w:t xml:space="preserve">Universidad del Magdalena. (2025). </w:t>
      </w:r>
      <w:r>
        <w:rPr>
          <w:b w:val="0"/>
          <w:i/>
          <w:sz w:val="18"/>
        </w:rPr>
        <w:t>Resolución N.º 298 de 2025, por medio de la cual se crea el Centro de Interculturalidad, Territorio y Sostenibilidad (CITS)</w:t>
      </w:r>
      <w:r>
        <w:rPr>
          <w:b w:val="0"/>
          <w:i w:val="0"/>
          <w:sz w:val="18"/>
        </w:rPr>
        <w:t>. Universidad del Magdalena. https://www.unimagdalena.edu.co/Content/ArchivosPublicaciones/Publicacion_387293/documento_1_20250306184443.253.pdf</w:t>
      </w:r>
    </w:p>
    <w:p w14:paraId="52886E4F" w14:textId="750FA98D" w:rsidR="0031710B" w:rsidRDefault="423A7555" w:rsidP="423A7555">
      <w:pPr>
        <w:spacing w:after="280" w:line="276" w:lineRule="auto"/>
        <w:jc w:val="both"/>
        <w:rPr>
          <w:rFonts w:ascii="Aptos" w:eastAsia="Aptos" w:hAnsi="Aptos" w:cs="Aptos"/>
          <w:lang w:val="es-ES"/>
        </w:rPr>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60"/>
      </w:tblGrid>
      <w:tr w:rsidR="423A7555" w14:paraId="14EA5E87" w14:textId="77777777" w:rsidTr="00E70CA7">
        <w:trPr>
          <w:trHeight w:val="300"/>
        </w:trPr>
        <w:tc>
          <w:tcPr>
            <w:tcW w:w="10060" w:type="dxa"/>
            <w:tcBorders>
              <w:top w:val="single" w:sz="8" w:space="0" w:color="auto"/>
              <w:left w:val="single" w:sz="8" w:space="0" w:color="auto"/>
              <w:bottom w:val="single" w:sz="8" w:space="0" w:color="auto"/>
              <w:right w:val="single" w:sz="8" w:space="0" w:color="auto"/>
            </w:tcBorders>
            <w:shd w:val="clear" w:color="auto" w:fill="1F6E8C"/>
            <w:tcMar>
              <w:top w:w="100" w:type="dxa"/>
              <w:left w:w="150" w:type="dxa"/>
              <w:bottom w:w="100" w:type="dxa"/>
              <w:right w:w="150" w:type="dxa"/>
            </w:tcMar>
          </w:tcPr>
          <w:p w14:paraId="1E9EC692" w14:textId="0A65A507" w:rsidR="423A7555" w:rsidRDefault="423A7555" w:rsidP="423A7555">
            <w:pPr>
              <w:spacing w:line="276" w:lineRule="auto"/>
            </w:pPr>
            <w:r w:rsidRPr="423A7555">
              <w:rPr>
                <w:rFonts w:ascii="Aptos" w:eastAsia="Aptos" w:hAnsi="Aptos" w:cs="Aptos"/>
                <w:b/>
                <w:bCs/>
                <w:color w:val="FFFFFF" w:themeColor="background1"/>
                <w:sz w:val="22"/>
                <w:szCs w:val="22"/>
              </w:rPr>
              <w:t>5. ANEXOS</w:t>
            </w:r>
          </w:p>
        </w:tc>
      </w:tr>
    </w:tbl>
    <w:p w14:paraId="466CA33D" w14:textId="4F18FB07" w:rsidR="0031710B" w:rsidRDefault="423A7555" w:rsidP="423A7555">
      <w:pPr>
        <w:spacing w:after="14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698"/>
        <w:gridCol w:w="9362"/>
      </w:tblGrid>
      <w:tr w:rsidR="423A7555" w14:paraId="080C2935" w14:textId="77777777" w:rsidTr="423A7555">
        <w:trPr>
          <w:trHeight w:val="300"/>
        </w:trPr>
        <w:tc>
          <w:tcPr>
            <w:tcW w:w="705"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1BC1A523" w14:textId="2EEB1DCF" w:rsidR="423A7555" w:rsidRDefault="423A7555" w:rsidP="423A7555">
            <w:pPr>
              <w:spacing w:line="276" w:lineRule="auto"/>
              <w:jc w:val="center"/>
            </w:pPr>
            <w:r w:rsidRPr="423A7555">
              <w:rPr>
                <w:rFonts w:ascii="Aptos" w:eastAsia="Aptos" w:hAnsi="Aptos" w:cs="Aptos"/>
                <w:color w:val="0B3D5C"/>
              </w:rPr>
              <w:t>☐</w:t>
            </w:r>
          </w:p>
        </w:tc>
        <w:tc>
          <w:tcPr>
            <w:tcW w:w="9540"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50" w:type="dxa"/>
              <w:bottom w:w="100" w:type="dxa"/>
              <w:right w:w="100" w:type="dxa"/>
            </w:tcMar>
            <w:vAlign w:val="center"/>
          </w:tcPr>
          <w:p w14:paraId="54F8C521" w14:textId="5C329378" w:rsidR="423A7555" w:rsidRDefault="423A7555" w:rsidP="423A7555">
            <w:pPr>
              <w:spacing w:line="276" w:lineRule="auto"/>
            </w:pPr>
            <w:r w:rsidRPr="423A7555">
              <w:rPr>
                <w:rFonts w:ascii="Aptos" w:eastAsia="Aptos" w:hAnsi="Aptos" w:cs="Aptos"/>
                <w:color w:val="333333"/>
                <w:sz w:val="20"/>
                <w:szCs w:val="20"/>
              </w:rPr>
              <w:t>Fotos del prototipo</w:t>
            </w:r>
            <w:r w:rsidR="007A58C1">
              <w:rPr>
                <w:rFonts w:ascii="Aptos" w:eastAsia="Aptos" w:hAnsi="Aptos" w:cs="Aptos"/>
                <w:color w:val="333333"/>
                <w:sz w:val="20"/>
                <w:szCs w:val="20"/>
              </w:rPr>
              <w:t xml:space="preserve"> o evidencias de la solución (si aplica)</w:t>
            </w:r>
          </w:p>
        </w:tc>
      </w:tr>
      <w:tr w:rsidR="423A7555" w14:paraId="2570DC80" w14:textId="77777777" w:rsidTr="423A7555">
        <w:trPr>
          <w:trHeight w:val="300"/>
        </w:trPr>
        <w:tc>
          <w:tcPr>
            <w:tcW w:w="705"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5AE8D995" w14:textId="74C32D10" w:rsidR="423A7555" w:rsidRDefault="423A7555" w:rsidP="423A7555">
            <w:pPr>
              <w:spacing w:line="276" w:lineRule="auto"/>
              <w:jc w:val="center"/>
            </w:pPr>
            <w:r w:rsidRPr="423A7555">
              <w:rPr>
                <w:rFonts w:ascii="Aptos" w:eastAsia="Aptos" w:hAnsi="Aptos" w:cs="Aptos"/>
                <w:color w:val="0B3D5C"/>
              </w:rPr>
              <w:lastRenderedPageBreak/>
              <w:t>☐</w:t>
            </w:r>
          </w:p>
        </w:tc>
        <w:tc>
          <w:tcPr>
            <w:tcW w:w="9540"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50" w:type="dxa"/>
              <w:bottom w:w="100" w:type="dxa"/>
              <w:right w:w="100" w:type="dxa"/>
            </w:tcMar>
            <w:vAlign w:val="center"/>
          </w:tcPr>
          <w:p w14:paraId="2A35F50F" w14:textId="4C9731D4" w:rsidR="423A7555" w:rsidRDefault="423A7555" w:rsidP="423A7555">
            <w:pPr>
              <w:spacing w:line="276" w:lineRule="auto"/>
            </w:pPr>
            <w:r w:rsidRPr="423A7555">
              <w:rPr>
                <w:rFonts w:ascii="Aptos" w:eastAsia="Aptos" w:hAnsi="Aptos" w:cs="Aptos"/>
                <w:color w:val="333333"/>
                <w:sz w:val="20"/>
                <w:szCs w:val="20"/>
              </w:rPr>
              <w:t>Soportes</w:t>
            </w:r>
            <w:r w:rsidR="007A58C1">
              <w:rPr>
                <w:rFonts w:ascii="Aptos" w:eastAsia="Aptos" w:hAnsi="Aptos" w:cs="Aptos"/>
                <w:color w:val="333333"/>
                <w:sz w:val="20"/>
                <w:szCs w:val="20"/>
              </w:rPr>
              <w:t xml:space="preserve"> o evidencias adicionales que considere pertinentes.</w:t>
            </w:r>
          </w:p>
        </w:tc>
      </w:tr>
    </w:tbl>
    <w:p w14:paraId="2AB0137B" w14:textId="088CF374" w:rsidR="0031710B" w:rsidRDefault="423A7555" w:rsidP="423A7555">
      <w:pPr>
        <w:spacing w:after="280" w:line="276" w:lineRule="auto"/>
        <w:jc w:val="both"/>
      </w:pPr>
      <w:r w:rsidRPr="423A7555">
        <w:rPr>
          <w:rFonts w:ascii="Aptos" w:eastAsia="Aptos" w:hAnsi="Aptos" w:cs="Aptos"/>
          <w:lang w:val="es-ES"/>
        </w:rPr>
        <w:t xml:space="preserve"> </w:t>
      </w:r>
    </w:p>
    <w:tbl>
      <w:tblPr>
        <w:tblW w:w="0" w:type="auto"/>
        <w:tblLook w:val="04A0" w:firstRow="1" w:lastRow="0" w:firstColumn="1" w:lastColumn="0" w:noHBand="0" w:noVBand="1"/>
      </w:tblPr>
      <w:tblGrid>
        <w:gridCol w:w="10060"/>
      </w:tblGrid>
      <w:tr w:rsidR="423A7555" w14:paraId="7B2BEA18" w14:textId="77777777" w:rsidTr="423A7555">
        <w:trPr>
          <w:trHeight w:val="300"/>
        </w:trPr>
        <w:tc>
          <w:tcPr>
            <w:tcW w:w="10245" w:type="dxa"/>
            <w:tcBorders>
              <w:top w:val="single" w:sz="8" w:space="0" w:color="auto"/>
              <w:left w:val="single" w:sz="8" w:space="0" w:color="auto"/>
              <w:bottom w:val="single" w:sz="8" w:space="0" w:color="auto"/>
              <w:right w:val="single" w:sz="8" w:space="0" w:color="auto"/>
            </w:tcBorders>
            <w:shd w:val="clear" w:color="auto" w:fill="1F6E8C"/>
            <w:tcMar>
              <w:top w:w="100" w:type="dxa"/>
              <w:left w:w="150" w:type="dxa"/>
              <w:bottom w:w="100" w:type="dxa"/>
              <w:right w:w="150" w:type="dxa"/>
            </w:tcMar>
          </w:tcPr>
          <w:p w14:paraId="5FFD2768" w14:textId="5424D4AF" w:rsidR="423A7555" w:rsidRDefault="423A7555" w:rsidP="423A7555">
            <w:pPr>
              <w:spacing w:line="276" w:lineRule="auto"/>
            </w:pPr>
            <w:r w:rsidRPr="423A7555">
              <w:rPr>
                <w:rFonts w:ascii="Aptos" w:eastAsia="Aptos" w:hAnsi="Aptos" w:cs="Aptos"/>
                <w:b/>
                <w:bCs/>
                <w:color w:val="FFFFFF" w:themeColor="background1"/>
                <w:sz w:val="22"/>
                <w:szCs w:val="22"/>
              </w:rPr>
              <w:t>6. ENTREGABLES</w:t>
            </w:r>
          </w:p>
        </w:tc>
      </w:tr>
    </w:tbl>
    <w:p w14:paraId="13D74C39" w14:textId="07B01FD2" w:rsidR="0031710B" w:rsidRDefault="423A7555" w:rsidP="423A7555">
      <w:pPr>
        <w:spacing w:after="140" w:line="276" w:lineRule="auto"/>
        <w:jc w:val="both"/>
      </w:pPr>
      <w:r w:rsidRPr="423A7555">
        <w:rPr>
          <w:rFonts w:ascii="Aptos" w:eastAsia="Aptos" w:hAnsi="Aptos" w:cs="Aptos"/>
          <w:lang w:val="es-ES"/>
        </w:rPr>
        <w:t xml:space="preserve"> </w:t>
      </w:r>
    </w:p>
    <w:tbl>
      <w:tblPr>
        <w:tblW w:w="0" w:type="auto"/>
        <w:tblInd w:w="-75" w:type="dxa"/>
        <w:tblLook w:val="04A0" w:firstRow="1" w:lastRow="0" w:firstColumn="1" w:lastColumn="0" w:noHBand="0" w:noVBand="1"/>
      </w:tblPr>
      <w:tblGrid>
        <w:gridCol w:w="686"/>
        <w:gridCol w:w="4908"/>
        <w:gridCol w:w="4541"/>
      </w:tblGrid>
      <w:tr w:rsidR="423A7555" w14:paraId="6BF8DA55" w14:textId="77777777" w:rsidTr="002453A2">
        <w:trPr>
          <w:trHeight w:val="300"/>
        </w:trPr>
        <w:tc>
          <w:tcPr>
            <w:tcW w:w="686" w:type="dxa"/>
            <w:tcBorders>
              <w:top w:val="single" w:sz="8" w:space="0" w:color="5FA8C7"/>
              <w:left w:val="single" w:sz="8" w:space="0" w:color="5FA8C7"/>
              <w:bottom w:val="single" w:sz="8" w:space="0" w:color="5FA8C7"/>
              <w:right w:val="single" w:sz="8" w:space="0" w:color="5FA8C7"/>
            </w:tcBorders>
            <w:shd w:val="clear" w:color="auto" w:fill="1F6E8C"/>
            <w:tcMar>
              <w:top w:w="80" w:type="dxa"/>
              <w:left w:w="100" w:type="dxa"/>
              <w:bottom w:w="80" w:type="dxa"/>
              <w:right w:w="100" w:type="dxa"/>
            </w:tcMar>
            <w:vAlign w:val="center"/>
          </w:tcPr>
          <w:p w14:paraId="7A60CD7E" w14:textId="176156E0" w:rsidR="423A7555" w:rsidRDefault="423A7555" w:rsidP="423A7555">
            <w:pPr>
              <w:spacing w:line="276" w:lineRule="auto"/>
              <w:jc w:val="center"/>
            </w:pPr>
            <w:proofErr w:type="spellStart"/>
            <w:r w:rsidRPr="423A7555">
              <w:rPr>
                <w:rFonts w:ascii="Aptos" w:eastAsia="Aptos" w:hAnsi="Aptos" w:cs="Aptos"/>
                <w:b/>
                <w:bCs/>
                <w:color w:val="FFFFFF" w:themeColor="background1"/>
                <w:sz w:val="19"/>
                <w:szCs w:val="19"/>
              </w:rPr>
              <w:t>N°</w:t>
            </w:r>
            <w:proofErr w:type="spellEnd"/>
          </w:p>
        </w:tc>
        <w:tc>
          <w:tcPr>
            <w:tcW w:w="4908" w:type="dxa"/>
            <w:tcBorders>
              <w:top w:val="single" w:sz="8" w:space="0" w:color="5FA8C7"/>
              <w:left w:val="single" w:sz="8" w:space="0" w:color="5FA8C7"/>
              <w:bottom w:val="single" w:sz="8" w:space="0" w:color="5FA8C7"/>
              <w:right w:val="single" w:sz="8" w:space="0" w:color="5FA8C7"/>
            </w:tcBorders>
            <w:shd w:val="clear" w:color="auto" w:fill="1F6E8C"/>
            <w:tcMar>
              <w:top w:w="80" w:type="dxa"/>
              <w:left w:w="100" w:type="dxa"/>
              <w:bottom w:w="80" w:type="dxa"/>
              <w:right w:w="100" w:type="dxa"/>
            </w:tcMar>
            <w:vAlign w:val="center"/>
          </w:tcPr>
          <w:p w14:paraId="5B1036E4" w14:textId="64823464" w:rsidR="423A7555" w:rsidRDefault="423A7555" w:rsidP="423A7555">
            <w:pPr>
              <w:spacing w:line="276" w:lineRule="auto"/>
            </w:pPr>
            <w:r w:rsidRPr="423A7555">
              <w:rPr>
                <w:rFonts w:ascii="Aptos" w:eastAsia="Aptos" w:hAnsi="Aptos" w:cs="Aptos"/>
                <w:b/>
                <w:bCs/>
                <w:color w:val="FFFFFF" w:themeColor="background1"/>
                <w:sz w:val="19"/>
                <w:szCs w:val="19"/>
              </w:rPr>
              <w:t>Entregable</w:t>
            </w:r>
          </w:p>
        </w:tc>
        <w:tc>
          <w:tcPr>
            <w:tcW w:w="4541" w:type="dxa"/>
            <w:tcBorders>
              <w:top w:val="single" w:sz="8" w:space="0" w:color="5FA8C7"/>
              <w:left w:val="single" w:sz="8" w:space="0" w:color="5FA8C7"/>
              <w:bottom w:val="single" w:sz="8" w:space="0" w:color="5FA8C7"/>
              <w:right w:val="single" w:sz="8" w:space="0" w:color="5FA8C7"/>
            </w:tcBorders>
            <w:shd w:val="clear" w:color="auto" w:fill="1F6E8C"/>
            <w:tcMar>
              <w:top w:w="80" w:type="dxa"/>
              <w:left w:w="100" w:type="dxa"/>
              <w:bottom w:w="80" w:type="dxa"/>
              <w:right w:w="100" w:type="dxa"/>
            </w:tcMar>
            <w:vAlign w:val="center"/>
          </w:tcPr>
          <w:p w14:paraId="37CC8526" w14:textId="17A04F07" w:rsidR="423A7555" w:rsidRDefault="423A7555" w:rsidP="423A7555">
            <w:pPr>
              <w:spacing w:line="276" w:lineRule="auto"/>
            </w:pPr>
            <w:r w:rsidRPr="423A7555">
              <w:rPr>
                <w:rFonts w:ascii="Aptos" w:eastAsia="Aptos" w:hAnsi="Aptos" w:cs="Aptos"/>
                <w:b/>
                <w:bCs/>
                <w:color w:val="FFFFFF" w:themeColor="background1"/>
                <w:sz w:val="19"/>
                <w:szCs w:val="19"/>
              </w:rPr>
              <w:t>Observaciones / fecha</w:t>
            </w:r>
          </w:p>
        </w:tc>
      </w:tr>
      <w:tr w:rsidR="423A7555" w14:paraId="5B4A0B91" w14:textId="77777777" w:rsidTr="002453A2">
        <w:trPr>
          <w:trHeight w:val="300"/>
        </w:trPr>
        <w:tc>
          <w:tcPr>
            <w:tcW w:w="686"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vAlign w:val="center"/>
          </w:tcPr>
          <w:p w14:paraId="36D2DFC3" w14:textId="33B086B2" w:rsidR="423A7555" w:rsidRDefault="423A7555" w:rsidP="423A7555">
            <w:pPr>
              <w:spacing w:line="276" w:lineRule="auto"/>
              <w:jc w:val="center"/>
            </w:pPr>
            <w:r w:rsidRPr="423A7555">
              <w:rPr>
                <w:rFonts w:ascii="Aptos" w:eastAsia="Aptos" w:hAnsi="Aptos" w:cs="Aptos"/>
                <w:color w:val="333333"/>
                <w:sz w:val="19"/>
                <w:szCs w:val="19"/>
              </w:rPr>
              <w:t>1</w:t>
            </w:r>
          </w:p>
        </w:tc>
        <w:tc>
          <w:tcPr>
            <w:tcW w:w="4908"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5E5114BB" w14:textId="72E47639" w:rsidR="423A7555" w:rsidRPr="00E70CA7" w:rsidRDefault="423A7555" w:rsidP="423A7555">
            <w:pPr>
              <w:spacing w:line="276" w:lineRule="auto"/>
            </w:pPr>
            <w:r w:rsidRPr="00E70CA7">
              <w:rPr>
                <w:rFonts w:ascii="Aptos" w:eastAsia="Aptos" w:hAnsi="Aptos" w:cs="Aptos"/>
                <w:sz w:val="19"/>
                <w:szCs w:val="19"/>
              </w:rPr>
              <w:t>Perfil del proyecto-prototipo</w:t>
            </w:r>
            <w:r w:rsidR="00F13A9E">
              <w:rPr>
                <w:rFonts w:ascii="Aptos" w:eastAsia="Aptos" w:hAnsi="Aptos" w:cs="Aptos"/>
                <w:sz w:val="19"/>
                <w:szCs w:val="19"/>
              </w:rPr>
              <w:t xml:space="preserve"> y cartas firmadas de compromiso de estudiantes y docente asesor. </w:t>
            </w:r>
          </w:p>
        </w:tc>
        <w:tc>
          <w:tcPr>
            <w:tcW w:w="4541"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0AB655BE" w14:textId="6245A089" w:rsidR="423A7555" w:rsidRDefault="423A7555" w:rsidP="423A7555">
            <w:pPr>
              <w:spacing w:line="276" w:lineRule="auto"/>
              <w:rPr>
                <w:rFonts w:ascii="Aptos" w:eastAsia="Aptos" w:hAnsi="Aptos" w:cs="Aptos"/>
                <w:sz w:val="18"/>
                <w:szCs w:val="18"/>
              </w:rPr>
            </w:pPr>
            <w:r w:rsidRPr="00E70CA7">
              <w:rPr>
                <w:rFonts w:ascii="Aptos" w:eastAsia="Aptos" w:hAnsi="Aptos" w:cs="Aptos"/>
                <w:sz w:val="18"/>
                <w:szCs w:val="18"/>
              </w:rPr>
              <w:t xml:space="preserve">Entrega: </w:t>
            </w:r>
            <w:r w:rsidR="00AD2ABF">
              <w:rPr>
                <w:rFonts w:ascii="Aptos" w:eastAsia="Aptos" w:hAnsi="Aptos" w:cs="Aptos"/>
                <w:sz w:val="18"/>
                <w:szCs w:val="18"/>
              </w:rPr>
              <w:t>31 de agosto</w:t>
            </w:r>
          </w:p>
          <w:p w14:paraId="44F009C7" w14:textId="10041838" w:rsidR="00F13A9E" w:rsidRPr="00E70CA7" w:rsidRDefault="00F13A9E" w:rsidP="423A7555">
            <w:pPr>
              <w:spacing w:line="276" w:lineRule="auto"/>
            </w:pPr>
            <w:r>
              <w:rPr>
                <w:rFonts w:ascii="Aptos" w:eastAsia="Aptos" w:hAnsi="Aptos" w:cs="Aptos"/>
                <w:sz w:val="19"/>
                <w:szCs w:val="19"/>
              </w:rPr>
              <w:t>El formato de cartas es suministrado por el CIE</w:t>
            </w:r>
          </w:p>
        </w:tc>
      </w:tr>
      <w:tr w:rsidR="00E70CA7" w14:paraId="46235B73" w14:textId="77777777" w:rsidTr="002453A2">
        <w:trPr>
          <w:trHeight w:val="300"/>
        </w:trPr>
        <w:tc>
          <w:tcPr>
            <w:tcW w:w="686"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vAlign w:val="center"/>
          </w:tcPr>
          <w:p w14:paraId="25BCE494" w14:textId="1C282D4C" w:rsidR="00E70CA7" w:rsidRDefault="00E70CA7" w:rsidP="00E70CA7">
            <w:pPr>
              <w:spacing w:line="276" w:lineRule="auto"/>
              <w:jc w:val="center"/>
            </w:pPr>
            <w:r w:rsidRPr="423A7555">
              <w:rPr>
                <w:rFonts w:ascii="Aptos" w:eastAsia="Aptos" w:hAnsi="Aptos" w:cs="Aptos"/>
                <w:color w:val="333333"/>
                <w:sz w:val="19"/>
                <w:szCs w:val="19"/>
              </w:rPr>
              <w:t>2</w:t>
            </w:r>
          </w:p>
        </w:tc>
        <w:tc>
          <w:tcPr>
            <w:tcW w:w="4908"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73EB03EF" w14:textId="33BD7215" w:rsidR="00E70CA7" w:rsidRPr="00E70CA7" w:rsidRDefault="002453A2" w:rsidP="00E70CA7">
            <w:pPr>
              <w:spacing w:line="276" w:lineRule="auto"/>
            </w:pPr>
            <w:r>
              <w:rPr>
                <w:rFonts w:ascii="Aptos" w:eastAsia="Aptos" w:hAnsi="Aptos" w:cs="Aptos"/>
                <w:sz w:val="19"/>
                <w:szCs w:val="19"/>
              </w:rPr>
              <w:t xml:space="preserve">Asistencia a reunión inicial para acompañamiento </w:t>
            </w:r>
            <w:r w:rsidR="00F13A9E" w:rsidRPr="00F13A9E">
              <w:rPr>
                <w:rFonts w:ascii="Aptos" w:eastAsia="Aptos" w:hAnsi="Aptos" w:cs="Aptos"/>
                <w:sz w:val="19"/>
                <w:szCs w:val="19"/>
              </w:rPr>
              <w:t>del CIE</w:t>
            </w:r>
          </w:p>
        </w:tc>
        <w:tc>
          <w:tcPr>
            <w:tcW w:w="4541"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38EBC680" w14:textId="21A4E97F" w:rsidR="00E70CA7" w:rsidRPr="00E70CA7" w:rsidRDefault="00AD2ABF" w:rsidP="00E70CA7">
            <w:pPr>
              <w:spacing w:line="276" w:lineRule="auto"/>
            </w:pPr>
            <w:r>
              <w:rPr>
                <w:rFonts w:ascii="Aptos" w:eastAsia="Aptos" w:hAnsi="Aptos" w:cs="Aptos"/>
                <w:sz w:val="19"/>
                <w:szCs w:val="19"/>
              </w:rPr>
              <w:t>1 de septiembre</w:t>
            </w:r>
            <w:r w:rsidR="00F13A9E" w:rsidRPr="00F13A9E">
              <w:rPr>
                <w:rFonts w:ascii="Aptos" w:eastAsia="Aptos" w:hAnsi="Aptos" w:cs="Aptos"/>
                <w:sz w:val="19"/>
                <w:szCs w:val="19"/>
              </w:rPr>
              <w:t>, de 8:00 a</w:t>
            </w:r>
            <w:r>
              <w:rPr>
                <w:rFonts w:ascii="Aptos" w:eastAsia="Aptos" w:hAnsi="Aptos" w:cs="Aptos"/>
                <w:sz w:val="19"/>
                <w:szCs w:val="19"/>
              </w:rPr>
              <w:t>m en</w:t>
            </w:r>
            <w:r w:rsidR="00F13A9E" w:rsidRPr="00F13A9E">
              <w:rPr>
                <w:rFonts w:ascii="Aptos" w:eastAsia="Aptos" w:hAnsi="Aptos" w:cs="Aptos"/>
                <w:sz w:val="19"/>
                <w:szCs w:val="19"/>
              </w:rPr>
              <w:t xml:space="preserve"> las instalaciones del CIE</w:t>
            </w:r>
          </w:p>
        </w:tc>
      </w:tr>
      <w:tr w:rsidR="00E70CA7" w14:paraId="1371CC88" w14:textId="77777777" w:rsidTr="002453A2">
        <w:trPr>
          <w:trHeight w:val="300"/>
        </w:trPr>
        <w:tc>
          <w:tcPr>
            <w:tcW w:w="686"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vAlign w:val="center"/>
          </w:tcPr>
          <w:p w14:paraId="1355D3E6" w14:textId="59304801" w:rsidR="00E70CA7" w:rsidRDefault="00E70CA7" w:rsidP="00E70CA7">
            <w:pPr>
              <w:spacing w:line="276" w:lineRule="auto"/>
              <w:jc w:val="center"/>
            </w:pPr>
            <w:r w:rsidRPr="423A7555">
              <w:rPr>
                <w:rFonts w:ascii="Aptos" w:eastAsia="Aptos" w:hAnsi="Aptos" w:cs="Aptos"/>
                <w:color w:val="333333"/>
                <w:sz w:val="19"/>
                <w:szCs w:val="19"/>
              </w:rPr>
              <w:t>3</w:t>
            </w:r>
          </w:p>
        </w:tc>
        <w:tc>
          <w:tcPr>
            <w:tcW w:w="4908"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1E40E982" w14:textId="1EDC7244" w:rsidR="00E70CA7" w:rsidRPr="00E70CA7" w:rsidRDefault="002453A2" w:rsidP="00E70CA7">
            <w:pPr>
              <w:spacing w:line="276" w:lineRule="auto"/>
            </w:pPr>
            <w:r>
              <w:rPr>
                <w:rFonts w:ascii="Aptos" w:eastAsia="Aptos" w:hAnsi="Aptos" w:cs="Aptos"/>
                <w:sz w:val="19"/>
                <w:szCs w:val="19"/>
              </w:rPr>
              <w:t>Participación en a</w:t>
            </w:r>
            <w:r w:rsidR="00F13A9E">
              <w:rPr>
                <w:rFonts w:ascii="Aptos" w:eastAsia="Aptos" w:hAnsi="Aptos" w:cs="Aptos"/>
                <w:sz w:val="19"/>
                <w:szCs w:val="19"/>
              </w:rPr>
              <w:t>se</w:t>
            </w:r>
            <w:r w:rsidR="00F13A9E" w:rsidRPr="00F13A9E">
              <w:rPr>
                <w:rFonts w:ascii="Aptos" w:eastAsia="Aptos" w:hAnsi="Aptos" w:cs="Aptos"/>
                <w:sz w:val="19"/>
                <w:szCs w:val="19"/>
              </w:rPr>
              <w:t>soría</w:t>
            </w:r>
            <w:r>
              <w:rPr>
                <w:rFonts w:ascii="Aptos" w:eastAsia="Aptos" w:hAnsi="Aptos" w:cs="Aptos"/>
                <w:sz w:val="19"/>
                <w:szCs w:val="19"/>
              </w:rPr>
              <w:t xml:space="preserve">s </w:t>
            </w:r>
            <w:r w:rsidR="00F13A9E" w:rsidRPr="00F13A9E">
              <w:rPr>
                <w:rFonts w:ascii="Aptos" w:eastAsia="Aptos" w:hAnsi="Aptos" w:cs="Aptos"/>
                <w:sz w:val="19"/>
                <w:szCs w:val="19"/>
              </w:rPr>
              <w:t xml:space="preserve">del CIE- </w:t>
            </w:r>
            <w:r>
              <w:rPr>
                <w:rFonts w:ascii="Aptos" w:eastAsia="Aptos" w:hAnsi="Aptos" w:cs="Aptos"/>
                <w:sz w:val="19"/>
                <w:szCs w:val="19"/>
              </w:rPr>
              <w:t>V</w:t>
            </w:r>
            <w:r w:rsidR="00F13A9E">
              <w:rPr>
                <w:rFonts w:ascii="Aptos" w:eastAsia="Aptos" w:hAnsi="Aptos" w:cs="Aptos"/>
                <w:sz w:val="19"/>
                <w:szCs w:val="19"/>
              </w:rPr>
              <w:t xml:space="preserve">iabilidad económica </w:t>
            </w:r>
            <w:r>
              <w:rPr>
                <w:rFonts w:ascii="Aptos" w:eastAsia="Aptos" w:hAnsi="Aptos" w:cs="Aptos"/>
                <w:sz w:val="19"/>
                <w:szCs w:val="19"/>
              </w:rPr>
              <w:t xml:space="preserve">básica </w:t>
            </w:r>
            <w:r w:rsidR="00F13A9E">
              <w:rPr>
                <w:rFonts w:ascii="Aptos" w:eastAsia="Aptos" w:hAnsi="Aptos" w:cs="Aptos"/>
                <w:sz w:val="19"/>
                <w:szCs w:val="19"/>
              </w:rPr>
              <w:t>y preparación de pitch</w:t>
            </w:r>
          </w:p>
        </w:tc>
        <w:tc>
          <w:tcPr>
            <w:tcW w:w="4541" w:type="dxa"/>
            <w:tcBorders>
              <w:top w:val="single" w:sz="8" w:space="0" w:color="5FA8C7"/>
              <w:left w:val="single" w:sz="8" w:space="0" w:color="5FA8C7"/>
              <w:bottom w:val="single" w:sz="8" w:space="0" w:color="5FA8C7"/>
              <w:right w:val="single" w:sz="8" w:space="0" w:color="5FA8C7"/>
            </w:tcBorders>
            <w:shd w:val="clear" w:color="auto" w:fill="EFF7FB"/>
            <w:tcMar>
              <w:top w:w="100" w:type="dxa"/>
              <w:left w:w="100" w:type="dxa"/>
              <w:bottom w:w="100" w:type="dxa"/>
              <w:right w:w="100" w:type="dxa"/>
            </w:tcMar>
          </w:tcPr>
          <w:p w14:paraId="4297C8D4" w14:textId="77777777" w:rsidR="002453A2" w:rsidRDefault="00F13A9E" w:rsidP="002453A2">
            <w:pPr>
              <w:pStyle w:val="Prrafodelista"/>
              <w:numPr>
                <w:ilvl w:val="0"/>
                <w:numId w:val="1"/>
              </w:numPr>
              <w:spacing w:line="276" w:lineRule="auto"/>
              <w:rPr>
                <w:rFonts w:ascii="Aptos" w:eastAsia="Aptos" w:hAnsi="Aptos" w:cs="Aptos"/>
                <w:sz w:val="19"/>
                <w:szCs w:val="19"/>
              </w:rPr>
            </w:pPr>
            <w:r w:rsidRPr="002453A2">
              <w:rPr>
                <w:rFonts w:ascii="Aptos" w:eastAsia="Aptos" w:hAnsi="Aptos" w:cs="Aptos"/>
                <w:sz w:val="19"/>
                <w:szCs w:val="19"/>
              </w:rPr>
              <w:t>5 de septiembre, de 8:00 am al mediodía en las instalaciones del CIE</w:t>
            </w:r>
          </w:p>
          <w:p w14:paraId="60735C1D" w14:textId="5C97F24E" w:rsidR="002453A2" w:rsidRPr="002453A2" w:rsidRDefault="002453A2" w:rsidP="002453A2">
            <w:pPr>
              <w:pStyle w:val="Prrafodelista"/>
              <w:numPr>
                <w:ilvl w:val="0"/>
                <w:numId w:val="1"/>
              </w:numPr>
              <w:spacing w:line="276" w:lineRule="auto"/>
              <w:rPr>
                <w:rFonts w:ascii="Aptos" w:eastAsia="Aptos" w:hAnsi="Aptos" w:cs="Aptos"/>
                <w:sz w:val="19"/>
                <w:szCs w:val="19"/>
              </w:rPr>
            </w:pPr>
            <w:r>
              <w:rPr>
                <w:rFonts w:ascii="Aptos" w:eastAsia="Aptos" w:hAnsi="Aptos" w:cs="Aptos"/>
                <w:sz w:val="19"/>
                <w:szCs w:val="19"/>
              </w:rPr>
              <w:t xml:space="preserve">11 de septiembre </w:t>
            </w:r>
            <w:r w:rsidRPr="002453A2">
              <w:rPr>
                <w:rFonts w:ascii="Aptos" w:eastAsia="Aptos" w:hAnsi="Aptos" w:cs="Aptos"/>
                <w:sz w:val="19"/>
                <w:szCs w:val="19"/>
              </w:rPr>
              <w:t>de 8:00 am al mediodía en las instalaciones del CIE</w:t>
            </w:r>
          </w:p>
        </w:tc>
      </w:tr>
      <w:tr w:rsidR="00E70CA7" w14:paraId="06605DD5" w14:textId="77777777" w:rsidTr="002453A2">
        <w:trPr>
          <w:trHeight w:val="300"/>
        </w:trPr>
        <w:tc>
          <w:tcPr>
            <w:tcW w:w="686"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vAlign w:val="center"/>
          </w:tcPr>
          <w:p w14:paraId="63AB3318" w14:textId="007E64ED" w:rsidR="00E70CA7" w:rsidRDefault="00E70CA7" w:rsidP="00E70CA7">
            <w:pPr>
              <w:spacing w:line="276" w:lineRule="auto"/>
              <w:jc w:val="center"/>
            </w:pPr>
            <w:r w:rsidRPr="423A7555">
              <w:rPr>
                <w:rFonts w:ascii="Aptos" w:eastAsia="Aptos" w:hAnsi="Aptos" w:cs="Aptos"/>
                <w:color w:val="333333"/>
                <w:sz w:val="19"/>
                <w:szCs w:val="19"/>
              </w:rPr>
              <w:t>4</w:t>
            </w:r>
          </w:p>
        </w:tc>
        <w:tc>
          <w:tcPr>
            <w:tcW w:w="4908"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0FFC5EED" w14:textId="51B7D8C4" w:rsidR="00E70CA7" w:rsidRPr="00E70CA7" w:rsidRDefault="00F13A9E" w:rsidP="00E70CA7">
            <w:pPr>
              <w:spacing w:line="276" w:lineRule="auto"/>
              <w:rPr>
                <w:rFonts w:ascii="Aptos" w:eastAsia="Aptos" w:hAnsi="Aptos" w:cs="Aptos"/>
                <w:sz w:val="19"/>
                <w:szCs w:val="19"/>
              </w:rPr>
            </w:pPr>
            <w:r w:rsidRPr="00E70CA7">
              <w:rPr>
                <w:rFonts w:ascii="Aptos" w:eastAsia="Aptos" w:hAnsi="Aptos" w:cs="Aptos"/>
                <w:sz w:val="19"/>
                <w:szCs w:val="19"/>
              </w:rPr>
              <w:t>Sesi</w:t>
            </w:r>
            <w:r w:rsidR="002453A2">
              <w:rPr>
                <w:rFonts w:ascii="Aptos" w:eastAsia="Aptos" w:hAnsi="Aptos" w:cs="Aptos"/>
                <w:sz w:val="19"/>
                <w:szCs w:val="19"/>
              </w:rPr>
              <w:t>ón final de</w:t>
            </w:r>
            <w:r w:rsidRPr="00E70CA7">
              <w:rPr>
                <w:rFonts w:ascii="Aptos" w:eastAsia="Aptos" w:hAnsi="Aptos" w:cs="Aptos"/>
                <w:sz w:val="19"/>
                <w:szCs w:val="19"/>
              </w:rPr>
              <w:t xml:space="preserve"> Pitch de prueba</w:t>
            </w:r>
          </w:p>
        </w:tc>
        <w:tc>
          <w:tcPr>
            <w:tcW w:w="4541"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39BEFEF1" w14:textId="7A3E2044" w:rsidR="00E70CA7" w:rsidRPr="00E70CA7" w:rsidRDefault="00F13A9E" w:rsidP="00E70CA7">
            <w:pPr>
              <w:spacing w:line="276" w:lineRule="auto"/>
            </w:pPr>
            <w:r w:rsidRPr="00F13A9E">
              <w:rPr>
                <w:rFonts w:ascii="Aptos" w:eastAsia="Aptos" w:hAnsi="Aptos" w:cs="Aptos"/>
                <w:sz w:val="19"/>
                <w:szCs w:val="19"/>
              </w:rPr>
              <w:t xml:space="preserve"> </w:t>
            </w:r>
            <w:r w:rsidR="002453A2">
              <w:rPr>
                <w:rFonts w:ascii="Aptos" w:eastAsia="Aptos" w:hAnsi="Aptos" w:cs="Aptos"/>
                <w:sz w:val="19"/>
                <w:szCs w:val="19"/>
              </w:rPr>
              <w:t xml:space="preserve">12 </w:t>
            </w:r>
            <w:r w:rsidRPr="00F13A9E">
              <w:rPr>
                <w:rFonts w:ascii="Aptos" w:eastAsia="Aptos" w:hAnsi="Aptos" w:cs="Aptos"/>
                <w:sz w:val="19"/>
                <w:szCs w:val="19"/>
              </w:rPr>
              <w:t>de septiembre</w:t>
            </w:r>
          </w:p>
        </w:tc>
      </w:tr>
      <w:tr w:rsidR="00E70CA7" w14:paraId="3E412BC4" w14:textId="77777777" w:rsidTr="002453A2">
        <w:trPr>
          <w:trHeight w:val="476"/>
        </w:trPr>
        <w:tc>
          <w:tcPr>
            <w:tcW w:w="686"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vAlign w:val="center"/>
          </w:tcPr>
          <w:p w14:paraId="0A8CB6A5" w14:textId="7EC355FB" w:rsidR="00E70CA7" w:rsidRDefault="00E70CA7" w:rsidP="00E70CA7">
            <w:pPr>
              <w:spacing w:line="276" w:lineRule="auto"/>
              <w:jc w:val="center"/>
            </w:pPr>
            <w:r w:rsidRPr="0715A45A">
              <w:rPr>
                <w:rFonts w:ascii="Aptos" w:eastAsia="Aptos" w:hAnsi="Aptos" w:cs="Aptos"/>
                <w:color w:val="333333"/>
                <w:sz w:val="19"/>
                <w:szCs w:val="19"/>
              </w:rPr>
              <w:t>5</w:t>
            </w:r>
          </w:p>
        </w:tc>
        <w:tc>
          <w:tcPr>
            <w:tcW w:w="4908"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7B4CE889" w14:textId="69A09FD4" w:rsidR="00E70CA7" w:rsidRPr="00E70CA7" w:rsidRDefault="00F13A9E" w:rsidP="00E70CA7">
            <w:pPr>
              <w:spacing w:line="276" w:lineRule="auto"/>
            </w:pPr>
            <w:r w:rsidRPr="00F13A9E">
              <w:rPr>
                <w:rFonts w:ascii="Aptos" w:eastAsia="Aptos" w:hAnsi="Aptos" w:cs="Aptos"/>
                <w:sz w:val="19"/>
                <w:szCs w:val="19"/>
              </w:rPr>
              <w:t xml:space="preserve">Remisión de rúbrica y ficha de proyecto ajustada a jurados para </w:t>
            </w:r>
            <w:proofErr w:type="spellStart"/>
            <w:r w:rsidRPr="00F13A9E">
              <w:rPr>
                <w:rFonts w:ascii="Aptos" w:eastAsia="Aptos" w:hAnsi="Aptos" w:cs="Aptos"/>
                <w:sz w:val="19"/>
                <w:szCs w:val="19"/>
              </w:rPr>
              <w:t>pre-evaluación</w:t>
            </w:r>
            <w:proofErr w:type="spellEnd"/>
            <w:r w:rsidR="002453A2">
              <w:rPr>
                <w:rFonts w:ascii="Aptos" w:eastAsia="Aptos" w:hAnsi="Aptos" w:cs="Aptos"/>
                <w:sz w:val="19"/>
                <w:szCs w:val="19"/>
              </w:rPr>
              <w:t xml:space="preserve"> por parte del CIE</w:t>
            </w:r>
          </w:p>
        </w:tc>
        <w:tc>
          <w:tcPr>
            <w:tcW w:w="4541" w:type="dxa"/>
            <w:tcBorders>
              <w:top w:val="single" w:sz="8" w:space="0" w:color="5FA8C7"/>
              <w:left w:val="single" w:sz="8" w:space="0" w:color="5FA8C7"/>
              <w:bottom w:val="single" w:sz="8" w:space="0" w:color="5FA8C7"/>
              <w:right w:val="single" w:sz="8" w:space="0" w:color="5FA8C7"/>
            </w:tcBorders>
            <w:shd w:val="clear" w:color="auto" w:fill="FFFFFF" w:themeFill="background1"/>
            <w:tcMar>
              <w:top w:w="100" w:type="dxa"/>
              <w:left w:w="100" w:type="dxa"/>
              <w:bottom w:w="100" w:type="dxa"/>
              <w:right w:w="100" w:type="dxa"/>
            </w:tcMar>
          </w:tcPr>
          <w:p w14:paraId="5FD7524B" w14:textId="725CC01C" w:rsidR="00E70CA7" w:rsidRPr="00E70CA7" w:rsidRDefault="00E70CA7" w:rsidP="00E70CA7">
            <w:pPr>
              <w:spacing w:line="276" w:lineRule="auto"/>
            </w:pPr>
            <w:r w:rsidRPr="00E70CA7">
              <w:rPr>
                <w:rFonts w:ascii="Aptos" w:eastAsia="Aptos" w:hAnsi="Aptos" w:cs="Aptos"/>
                <w:sz w:val="18"/>
                <w:szCs w:val="18"/>
              </w:rPr>
              <w:t>11 de septiembre.</w:t>
            </w:r>
          </w:p>
        </w:tc>
      </w:tr>
    </w:tbl>
    <w:p w14:paraId="5FC0B9C7" w14:textId="4275048C" w:rsidR="0715A45A" w:rsidRDefault="0715A45A" w:rsidP="0715A45A">
      <w:pPr>
        <w:spacing w:line="276" w:lineRule="auto"/>
        <w:rPr>
          <w:rFonts w:ascii="Aptos" w:eastAsia="Aptos" w:hAnsi="Aptos" w:cs="Aptos"/>
          <w:b/>
          <w:bCs/>
          <w:color w:val="FFFFFF" w:themeColor="background1"/>
          <w:sz w:val="22"/>
          <w:szCs w:val="22"/>
        </w:rPr>
      </w:pPr>
    </w:p>
    <w:p w14:paraId="692A429F" w14:textId="3BE0DA79" w:rsidR="77C207CF" w:rsidRDefault="77C207CF" w:rsidP="0715A45A">
      <w:pPr>
        <w:shd w:val="clear" w:color="auto" w:fill="156082" w:themeFill="accent1"/>
        <w:spacing w:line="276" w:lineRule="auto"/>
      </w:pPr>
      <w:r w:rsidRPr="0715A45A">
        <w:rPr>
          <w:rFonts w:ascii="Aptos" w:eastAsia="Aptos" w:hAnsi="Aptos" w:cs="Aptos"/>
          <w:b/>
          <w:bCs/>
          <w:color w:val="FFFFFF" w:themeColor="background1"/>
          <w:sz w:val="22"/>
          <w:szCs w:val="22"/>
        </w:rPr>
        <w:t>7</w:t>
      </w:r>
      <w:r w:rsidR="2BAC24B0" w:rsidRPr="0715A45A">
        <w:rPr>
          <w:rFonts w:ascii="Aptos" w:eastAsia="Aptos" w:hAnsi="Aptos" w:cs="Aptos"/>
          <w:b/>
          <w:bCs/>
          <w:color w:val="FFFFFF" w:themeColor="background1"/>
          <w:sz w:val="22"/>
          <w:szCs w:val="22"/>
        </w:rPr>
        <w:t>.  GLOSARIO</w:t>
      </w:r>
    </w:p>
    <w:p w14:paraId="21E65D72" w14:textId="70BBD5A8" w:rsidR="472260FB" w:rsidRDefault="351DFC32" w:rsidP="6DAD5ECA">
      <w:pPr>
        <w:jc w:val="both"/>
      </w:pPr>
      <w:r w:rsidRPr="6DAD5ECA">
        <w:rPr>
          <w:b/>
          <w:bCs/>
          <w:i/>
          <w:iCs/>
        </w:rPr>
        <w:t>Niveles de Madurez Tecnológica</w:t>
      </w:r>
      <w:r w:rsidR="47AC3F14" w:rsidRPr="6DAD5ECA">
        <w:rPr>
          <w:b/>
          <w:bCs/>
          <w:i/>
          <w:iCs/>
        </w:rPr>
        <w:t xml:space="preserve"> - TRL (</w:t>
      </w:r>
      <w:proofErr w:type="spellStart"/>
      <w:r w:rsidR="47AC3F14" w:rsidRPr="6DAD5ECA">
        <w:rPr>
          <w:b/>
          <w:bCs/>
          <w:i/>
          <w:iCs/>
        </w:rPr>
        <w:t>Technology</w:t>
      </w:r>
      <w:proofErr w:type="spellEnd"/>
      <w:r w:rsidR="47AC3F14" w:rsidRPr="6DAD5ECA">
        <w:rPr>
          <w:b/>
          <w:bCs/>
          <w:i/>
          <w:iCs/>
        </w:rPr>
        <w:t xml:space="preserve"> </w:t>
      </w:r>
      <w:proofErr w:type="spellStart"/>
      <w:r w:rsidR="47AC3F14" w:rsidRPr="6DAD5ECA">
        <w:rPr>
          <w:b/>
          <w:bCs/>
          <w:i/>
          <w:iCs/>
        </w:rPr>
        <w:t>Readiness</w:t>
      </w:r>
      <w:proofErr w:type="spellEnd"/>
      <w:r w:rsidR="47AC3F14" w:rsidRPr="6DAD5ECA">
        <w:rPr>
          <w:b/>
          <w:bCs/>
          <w:i/>
          <w:iCs/>
        </w:rPr>
        <w:t xml:space="preserve"> Levels):</w:t>
      </w:r>
      <w:r w:rsidR="47AC3F14" w:rsidRPr="6DAD5ECA">
        <w:rPr>
          <w:b/>
          <w:bCs/>
        </w:rPr>
        <w:t xml:space="preserve"> </w:t>
      </w:r>
      <w:r w:rsidR="47AC3F14" w:rsidRPr="6DAD5ECA">
        <w:t xml:space="preserve">Herramienta </w:t>
      </w:r>
      <w:r w:rsidR="3B2791AC" w:rsidRPr="6DAD5ECA">
        <w:t>internacional para delimitar y medir las etapas de maduración de una tecnología y su posibilidad de ser introducida en el mercado. Según la escala, creada por la NASA, son 9 niveles que pe</w:t>
      </w:r>
      <w:r w:rsidR="235525C3" w:rsidRPr="6DAD5ECA">
        <w:t>rmiten caracterizar el progreso en desarrollo, desde la idea hasta su despliegue en el mercado ofreciendo un valor agregado</w:t>
      </w:r>
      <w:r w:rsidR="32B7C280" w:rsidRPr="6DAD5ECA">
        <w:t>.</w:t>
      </w:r>
      <w:r w:rsidR="472260FB" w:rsidRPr="6DAD5ECA">
        <w:rPr>
          <w:rStyle w:val="Refdenotaalpie"/>
        </w:rPr>
        <w:footnoteReference w:id="1"/>
      </w:r>
    </w:p>
    <w:p w14:paraId="70F5029E" w14:textId="1B425383" w:rsidR="472260FB" w:rsidRDefault="235525C3" w:rsidP="0715A45A">
      <w:pPr>
        <w:jc w:val="both"/>
      </w:pPr>
      <w:r w:rsidRPr="6DAD5ECA">
        <w:rPr>
          <w:lang w:val="es-ES"/>
        </w:rPr>
        <w:lastRenderedPageBreak/>
        <w:t>TRL 1: Investigación básica, identificación inicial de la problemática</w:t>
      </w:r>
    </w:p>
    <w:p w14:paraId="71E9B2A2" w14:textId="0FFBF694" w:rsidR="472260FB" w:rsidRDefault="472260FB" w:rsidP="0715A45A">
      <w:pPr>
        <w:jc w:val="both"/>
      </w:pPr>
      <w:r w:rsidRPr="0715A45A">
        <w:t>TRL 2: Investigación aplicad</w:t>
      </w:r>
      <w:r w:rsidR="46DBC968" w:rsidRPr="0715A45A">
        <w:t>a.</w:t>
      </w:r>
      <w:r w:rsidR="0111362A" w:rsidRPr="0715A45A">
        <w:t xml:space="preserve"> F</w:t>
      </w:r>
      <w:r w:rsidR="43B9F597" w:rsidRPr="0715A45A">
        <w:t>ormulación del concepto de la tecnología, su aplicación y puesta en práctica.</w:t>
      </w:r>
      <w:r w:rsidR="13C00C59" w:rsidRPr="0715A45A">
        <w:t xml:space="preserve"> Estudios y pequeños experimentos para su </w:t>
      </w:r>
      <w:proofErr w:type="spellStart"/>
      <w:r w:rsidR="13C00C59" w:rsidRPr="0715A45A">
        <w:t>posteiror</w:t>
      </w:r>
      <w:proofErr w:type="spellEnd"/>
      <w:r w:rsidR="13C00C59" w:rsidRPr="0715A45A">
        <w:t xml:space="preserve"> prueba de concepto.  Herramientas de simulación y análisis.  </w:t>
      </w:r>
      <w:r w:rsidR="43B9F597" w:rsidRPr="0715A45A">
        <w:t>S</w:t>
      </w:r>
      <w:r w:rsidRPr="0715A45A">
        <w:t>olución propuesta e impacto potencial</w:t>
      </w:r>
      <w:r w:rsidR="257016FF" w:rsidRPr="0715A45A">
        <w:t>, sociedad esperada</w:t>
      </w:r>
      <w:r w:rsidR="3939DC21" w:rsidRPr="0715A45A">
        <w:t xml:space="preserve">, identificación de actores relevantes </w:t>
      </w:r>
    </w:p>
    <w:p w14:paraId="66E10973" w14:textId="6ED51D66" w:rsidR="472260FB" w:rsidRDefault="235525C3" w:rsidP="0715A45A">
      <w:pPr>
        <w:jc w:val="both"/>
      </w:pPr>
      <w:r w:rsidRPr="6DAD5ECA">
        <w:t>TRL 3: Desarrollo experimental</w:t>
      </w:r>
      <w:r w:rsidR="6146ECD6" w:rsidRPr="6DAD5ECA">
        <w:t>.</w:t>
      </w:r>
      <w:r w:rsidR="55D6F3DC" w:rsidRPr="6DAD5ECA">
        <w:t xml:space="preserve"> Incluye actividades de I+D, pruebas </w:t>
      </w:r>
      <w:r w:rsidR="16BB957B" w:rsidRPr="6DAD5ECA">
        <w:t>analíticas</w:t>
      </w:r>
      <w:r w:rsidR="55D6F3DC" w:rsidRPr="6DAD5ECA">
        <w:t>, pruebas de concepto o a escala de laboratorio.  Demostración de factibilidad técnica, pruebas de laboratorio</w:t>
      </w:r>
      <w:r w:rsidR="0B796278" w:rsidRPr="6DAD5ECA">
        <w:t xml:space="preserve"> p</w:t>
      </w:r>
      <w:r w:rsidR="55D6F3DC" w:rsidRPr="6DAD5ECA">
        <w:t>ara medir parámetros y comparación</w:t>
      </w:r>
      <w:r w:rsidR="5D13A72F" w:rsidRPr="6DAD5ECA">
        <w:t xml:space="preserve"> con predicciones analíticas. </w:t>
      </w:r>
      <w:r w:rsidR="1D8F2C0B" w:rsidRPr="6DAD5ECA">
        <w:t xml:space="preserve"> Prueba inicial de la solución junto con las partes interesadas relevantes.</w:t>
      </w:r>
    </w:p>
    <w:p w14:paraId="5B4B4000" w14:textId="2BC4D426" w:rsidR="7B3B35D7" w:rsidRDefault="7B3B35D7" w:rsidP="0715A45A">
      <w:pPr>
        <w:jc w:val="both"/>
      </w:pPr>
      <w:r w:rsidRPr="0715A45A">
        <w:t>TRL 4: Validación de componentes que integran la tecnología. Una unidad de prototipo ha sido construida en laboratorio y en un entorno controlado. Problema validado a través de prueba</w:t>
      </w:r>
      <w:r w:rsidR="664C71E3" w:rsidRPr="0715A45A">
        <w:t>s piloto en el entorno pertinente para fundamentar la propuesta.</w:t>
      </w:r>
    </w:p>
    <w:p w14:paraId="212558E0" w14:textId="3CAEB3BA" w:rsidR="664C71E3" w:rsidRDefault="274A2C09" w:rsidP="0715A45A">
      <w:pPr>
        <w:jc w:val="both"/>
      </w:pPr>
      <w:r w:rsidRPr="6DAD5ECA">
        <w:t xml:space="preserve">TRL 5: Validación de los sistemas, </w:t>
      </w:r>
      <w:proofErr w:type="spellStart"/>
      <w:r w:rsidRPr="6DAD5ECA">
        <w:t>susbsi</w:t>
      </w:r>
      <w:r w:rsidR="523D3792" w:rsidRPr="6DAD5ECA">
        <w:t>s</w:t>
      </w:r>
      <w:r w:rsidRPr="6DAD5ECA">
        <w:t>temas</w:t>
      </w:r>
      <w:proofErr w:type="spellEnd"/>
      <w:r w:rsidRPr="6DAD5ECA">
        <w:t xml:space="preserve"> o componentes en un entorno relevante. El prototipo está listo para ser usado en un entorno real, por lo que se mejoran </w:t>
      </w:r>
      <w:proofErr w:type="spellStart"/>
      <w:r w:rsidRPr="6DAD5ECA">
        <w:t>lso</w:t>
      </w:r>
      <w:proofErr w:type="spellEnd"/>
      <w:r w:rsidRPr="6DAD5ECA">
        <w:t xml:space="preserve"> modelos tanto técnicos como económicos del diseño inicial, se id</w:t>
      </w:r>
      <w:r w:rsidR="36868CED" w:rsidRPr="6DAD5ECA">
        <w:t>entifican aspectos de seguridad, limitaciones ambientales y/o regulatorias, entre otras.  Solución validada ahora por partes interesadas relevantes en el área.</w:t>
      </w:r>
    </w:p>
    <w:p w14:paraId="2A58EEA3" w14:textId="63C80B73" w:rsidR="6E451877" w:rsidRDefault="6E451877" w:rsidP="0715A45A">
      <w:pPr>
        <w:jc w:val="both"/>
      </w:pPr>
      <w:r w:rsidRPr="0715A45A">
        <w:t xml:space="preserve">TRL 6: Validación del sistema, subsistema, modelo o prototipo en condiciones cercanas a las reales. </w:t>
      </w:r>
      <w:r w:rsidR="3B0AE4F3" w:rsidRPr="0715A45A">
        <w:t xml:space="preserve">Prototipos piloto capaces de </w:t>
      </w:r>
      <w:proofErr w:type="spellStart"/>
      <w:r w:rsidR="3B0AE4F3" w:rsidRPr="0715A45A">
        <w:t>desarrolalr</w:t>
      </w:r>
      <w:proofErr w:type="spellEnd"/>
      <w:r w:rsidR="3B0AE4F3" w:rsidRPr="0715A45A">
        <w:t xml:space="preserve"> todas las funciones necesarias dentro de un sistema determinado, superando pruebas de factibilidad en condiciones de operación o funcionamiento real.  Solución demostrada en entorno relevante y en cooperación con las partes interesad</w:t>
      </w:r>
      <w:r w:rsidR="73C269A0" w:rsidRPr="0715A45A">
        <w:t>as para obtener retroalimentación sobre el impacto potencial.</w:t>
      </w:r>
    </w:p>
    <w:p w14:paraId="05AEDC64" w14:textId="3BBD4194" w:rsidR="73C269A0" w:rsidRDefault="73C269A0" w:rsidP="0715A45A">
      <w:pPr>
        <w:jc w:val="both"/>
      </w:pPr>
      <w:r w:rsidRPr="0715A45A">
        <w:t>TRL 7:</w:t>
      </w:r>
      <w:r w:rsidR="3223A8AD" w:rsidRPr="0715A45A">
        <w:t xml:space="preserve"> Demostración de sistema o prototipo validados en el entorno operativo real. Prototipo próximo a escala </w:t>
      </w:r>
      <w:proofErr w:type="spellStart"/>
      <w:r w:rsidR="3223A8AD" w:rsidRPr="0715A45A">
        <w:t>pre-comercial</w:t>
      </w:r>
      <w:proofErr w:type="spellEnd"/>
      <w:r w:rsidR="3223A8AD" w:rsidRPr="0715A45A">
        <w:t xml:space="preserve">, identificación de aspectos relacionados con fabricación, evaluación de ciclo de vida y evaluación económica. </w:t>
      </w:r>
      <w:r w:rsidR="6FF868CD" w:rsidRPr="0715A45A">
        <w:t>Refinamiento de la solución y si es necesario volver a probar en un entorno relevante.</w:t>
      </w:r>
    </w:p>
    <w:p w14:paraId="124895A2" w14:textId="01D4135E" w:rsidR="73C269A0" w:rsidRDefault="73C269A0" w:rsidP="0715A45A">
      <w:pPr>
        <w:jc w:val="both"/>
        <w:rPr>
          <w:lang w:val="es-ES"/>
        </w:rPr>
      </w:pPr>
      <w:r w:rsidRPr="0715A45A">
        <w:rPr>
          <w:lang w:val="es-ES"/>
        </w:rPr>
        <w:t>TRL 8:</w:t>
      </w:r>
      <w:r w:rsidR="11030D37" w:rsidRPr="0715A45A">
        <w:rPr>
          <w:lang w:val="es-ES"/>
        </w:rPr>
        <w:t xml:space="preserve"> Sistema completo y calificado a través de pruebas y demostraciones en ambientes operacionales.  Tecnología probada en forma final y bajo condiciones supuestas, alcanzado el desarrollo final del sistema. Se han resuelto todas las cuestiones operativas y técnicas de fabricación, se cuenta con manu</w:t>
      </w:r>
      <w:r w:rsidR="034DD592" w:rsidRPr="0715A45A">
        <w:rPr>
          <w:lang w:val="es-ES"/>
        </w:rPr>
        <w:t>ales de uso y mantenimiento del producto o con el diseño final.  Solución propuesta y adaptación de un plan social completo y calificado.</w:t>
      </w:r>
    </w:p>
    <w:p w14:paraId="1683E769" w14:textId="112F2FBF" w:rsidR="73C269A0" w:rsidRDefault="73C269A0" w:rsidP="0715A45A">
      <w:pPr>
        <w:jc w:val="both"/>
        <w:rPr>
          <w:lang w:val="es-ES"/>
        </w:rPr>
      </w:pPr>
      <w:r w:rsidRPr="0715A45A">
        <w:rPr>
          <w:lang w:val="es-ES"/>
        </w:rPr>
        <w:lastRenderedPageBreak/>
        <w:t>TRL 9:</w:t>
      </w:r>
      <w:r w:rsidR="25281CF1" w:rsidRPr="0715A45A">
        <w:rPr>
          <w:lang w:val="es-ES"/>
        </w:rPr>
        <w:t xml:space="preserve"> Sistema probado y operando con éxito en un entorno real. Tecnología o sistema en su fase final y operable en un sin número de condiciones operativas, probado y disponible para su comercialización y /o producción disponible para la sociedad. Entrega del producto o tecnología para producción en serie y comercialización. Soluciones reales d</w:t>
      </w:r>
      <w:r w:rsidR="598C8358" w:rsidRPr="0715A45A">
        <w:rPr>
          <w:lang w:val="es-ES"/>
        </w:rPr>
        <w:t>el proyecto probadas en un entorno relevante.</w:t>
      </w:r>
    </w:p>
    <w:p w14:paraId="008FD3EC" w14:textId="167E516D" w:rsidR="2BAC24B0" w:rsidRDefault="351DFC32" w:rsidP="6DAD5ECA">
      <w:pPr>
        <w:jc w:val="both"/>
      </w:pPr>
      <w:r w:rsidRPr="6DAD5ECA">
        <w:rPr>
          <w:b/>
          <w:bCs/>
          <w:i/>
          <w:iCs/>
          <w:lang w:val="es-ES"/>
        </w:rPr>
        <w:t>Desarrollo Tecnológico:</w:t>
      </w:r>
      <w:r w:rsidR="532558FF" w:rsidRPr="6DAD5ECA">
        <w:rPr>
          <w:lang w:val="es-ES"/>
        </w:rPr>
        <w:t xml:space="preserve"> Aplicación de los resultados de investigación, o de cualquier tipo de conocimiento científico, para la fabricación de nuevos materiales, productos, diseño de nuevos procesos, sistemas de producción o prestación de servicios, así como la mejora tecnológica sustancial de ma</w:t>
      </w:r>
      <w:r w:rsidR="2AEDCB03" w:rsidRPr="6DAD5ECA">
        <w:rPr>
          <w:lang w:val="es-ES"/>
        </w:rPr>
        <w:t xml:space="preserve">teriales, productos, procesos o sistemas preexistentes.  Incluye la materialización de resultados de investigación en un plano, esquema o diseño, prototipos no comercializables, proyectos de demostración inicial o proyectos piloto </w:t>
      </w:r>
      <w:r w:rsidR="2CBDC2BD" w:rsidRPr="6DAD5ECA">
        <w:rPr>
          <w:lang w:val="es-ES"/>
        </w:rPr>
        <w:t>(que no se conviertan en aplicaciones industriales o de explotación comercial). Es la aplicación de técnicas conocidas para la solución de una problemática</w:t>
      </w:r>
      <w:r w:rsidR="554491F3" w:rsidRPr="6DAD5ECA">
        <w:rPr>
          <w:lang w:val="es-ES"/>
        </w:rPr>
        <w:t>.</w:t>
      </w:r>
      <w:r w:rsidR="2BAC24B0" w:rsidRPr="6DAD5ECA">
        <w:rPr>
          <w:rStyle w:val="Refdenotaalpie"/>
          <w:lang w:val="es-ES"/>
        </w:rPr>
        <w:footnoteReference w:id="2"/>
      </w:r>
      <w:r w:rsidR="5D97DA72" w:rsidRPr="6DAD5ECA">
        <w:rPr>
          <w:lang w:val="es-ES"/>
        </w:rPr>
        <w:t xml:space="preserve"> </w:t>
      </w:r>
    </w:p>
    <w:p w14:paraId="77C6D8AE" w14:textId="05C6628A" w:rsidR="0715A45A" w:rsidRDefault="0715A45A" w:rsidP="6DAD5ECA">
      <w:pPr>
        <w:jc w:val="both"/>
        <w:rPr>
          <w:lang w:val="es-ES"/>
        </w:rPr>
      </w:pPr>
    </w:p>
    <w:p w14:paraId="35D68BF9" w14:textId="5AC54D53" w:rsidR="351DFC32" w:rsidRDefault="351DFC32" w:rsidP="6DAD5ECA">
      <w:pPr>
        <w:spacing w:after="100" w:line="276" w:lineRule="auto"/>
        <w:jc w:val="both"/>
        <w:rPr>
          <w:lang w:val="es-ES"/>
        </w:rPr>
      </w:pPr>
      <w:r w:rsidRPr="6DAD5ECA">
        <w:rPr>
          <w:rFonts w:eastAsiaTheme="minorEastAsia"/>
          <w:b/>
          <w:bCs/>
          <w:i/>
          <w:iCs/>
          <w:lang w:val="es-ES"/>
        </w:rPr>
        <w:t>Problemática:</w:t>
      </w:r>
      <w:r w:rsidR="3799B1C5" w:rsidRPr="6DAD5ECA">
        <w:rPr>
          <w:rFonts w:eastAsiaTheme="minorEastAsia"/>
          <w:b/>
          <w:bCs/>
          <w:i/>
          <w:iCs/>
          <w:lang w:val="es-ES"/>
        </w:rPr>
        <w:t xml:space="preserve"> </w:t>
      </w:r>
      <w:r w:rsidR="3799B1C5" w:rsidRPr="6DAD5ECA">
        <w:rPr>
          <w:rFonts w:eastAsiaTheme="minorEastAsia"/>
          <w:lang w:val="es-ES"/>
        </w:rPr>
        <w:t>Situación del mundo real en la cual existe una sensación de inquietud o insatisfacción frente a un vacío de conocimiento; corresponde a la expresión de los límites del conocimiento actual sobre un objeto de estudio, cuya identificación y delimitación constituye el punto de partida de todo proceso de investigación.</w:t>
      </w:r>
      <w:r w:rsidRPr="6DAD5ECA">
        <w:rPr>
          <w:rStyle w:val="Refdenotaalpie"/>
          <w:lang w:val="es-ES"/>
        </w:rPr>
        <w:footnoteReference w:id="3"/>
      </w:r>
    </w:p>
    <w:p w14:paraId="4EC48A3D" w14:textId="3DF57ACF" w:rsidR="2BAC24B0" w:rsidRDefault="351DFC32" w:rsidP="0715A45A">
      <w:pPr>
        <w:jc w:val="both"/>
      </w:pPr>
      <w:r w:rsidRPr="6DAD5ECA">
        <w:rPr>
          <w:rFonts w:eastAsiaTheme="minorEastAsia"/>
          <w:b/>
          <w:bCs/>
          <w:i/>
          <w:iCs/>
          <w:lang w:val="es-ES"/>
        </w:rPr>
        <w:t>Escalabilidad:</w:t>
      </w:r>
      <w:r w:rsidR="68E3D8DB" w:rsidRPr="6DAD5ECA">
        <w:rPr>
          <w:rFonts w:eastAsiaTheme="minorEastAsia"/>
          <w:b/>
          <w:bCs/>
          <w:i/>
          <w:iCs/>
          <w:lang w:val="es-ES"/>
        </w:rPr>
        <w:t xml:space="preserve"> </w:t>
      </w:r>
      <w:r w:rsidR="68E3D8DB" w:rsidRPr="6DAD5ECA">
        <w:rPr>
          <w:rFonts w:eastAsiaTheme="minorEastAsia"/>
          <w:lang w:val="es-ES"/>
        </w:rPr>
        <w:t>Capacidad de un sistema, producto o solución tecnológica para adaptarse y responder eficientemente a un crecimiento en la carga, demanda o volumen de operación, considerando factores como el rendimiento, la capacidad de procesamiento y la relación costo-beneficio del escalamiento</w:t>
      </w:r>
      <w:r w:rsidR="69E1F949" w:rsidRPr="6DAD5ECA">
        <w:rPr>
          <w:rFonts w:eastAsiaTheme="minorEastAsia"/>
          <w:lang w:val="es-ES"/>
        </w:rPr>
        <w:t>.</w:t>
      </w:r>
      <w:r w:rsidR="2BAC24B0" w:rsidRPr="6DAD5ECA">
        <w:rPr>
          <w:rStyle w:val="Refdenotaalpie"/>
          <w:lang w:val="es-ES"/>
        </w:rPr>
        <w:footnoteReference w:id="4"/>
      </w:r>
      <w:r w:rsidR="4C7834B9" w:rsidRPr="6DAD5ECA">
        <w:rPr>
          <w:rFonts w:eastAsiaTheme="minorEastAsia"/>
          <w:lang w:val="es-ES"/>
        </w:rPr>
        <w:t xml:space="preserve"> </w:t>
      </w:r>
    </w:p>
    <w:p w14:paraId="12A8A1B0" w14:textId="7940C1D9" w:rsidR="351DFC32" w:rsidRDefault="351DFC32" w:rsidP="6DAD5ECA">
      <w:pPr>
        <w:spacing w:after="100" w:line="276" w:lineRule="auto"/>
        <w:jc w:val="both"/>
        <w:rPr>
          <w:lang w:val="es-ES"/>
        </w:rPr>
      </w:pPr>
      <w:r w:rsidRPr="6DAD5ECA">
        <w:rPr>
          <w:rFonts w:eastAsiaTheme="minorEastAsia"/>
          <w:b/>
          <w:bCs/>
          <w:i/>
          <w:iCs/>
          <w:lang w:val="es-ES"/>
        </w:rPr>
        <w:t>Prototipo:</w:t>
      </w:r>
      <w:r w:rsidR="04909FCD" w:rsidRPr="6DAD5ECA">
        <w:rPr>
          <w:rFonts w:eastAsiaTheme="minorEastAsia"/>
          <w:lang w:val="es-ES"/>
        </w:rPr>
        <w:t xml:space="preserve"> Método para obtener una retroalimentación temprana respecto a los requisitos de un producto o servicio, proporcionando un modelo operativo funcional antes de construir la versión </w:t>
      </w:r>
      <w:r w:rsidR="04909FCD" w:rsidRPr="6DAD5ECA">
        <w:rPr>
          <w:rFonts w:eastAsiaTheme="minorEastAsia"/>
          <w:lang w:val="es-ES"/>
        </w:rPr>
        <w:lastRenderedPageBreak/>
        <w:t>definitiva. El prototipo industrial es el modelo original construido que posee todas las características técnicas y de funcionamiento del nuevo producto.</w:t>
      </w:r>
      <w:r w:rsidRPr="6DAD5ECA">
        <w:rPr>
          <w:rStyle w:val="Refdenotaalpie"/>
          <w:lang w:val="es-ES"/>
        </w:rPr>
        <w:footnoteReference w:id="5"/>
      </w:r>
    </w:p>
    <w:p w14:paraId="78DF9828" w14:textId="43CB53C3" w:rsidR="351DFC32" w:rsidRDefault="351DFC32" w:rsidP="6DAD5ECA">
      <w:pPr>
        <w:spacing w:after="100" w:line="276" w:lineRule="auto"/>
        <w:jc w:val="both"/>
      </w:pPr>
      <w:proofErr w:type="spellStart"/>
      <w:r w:rsidRPr="6DAD5ECA">
        <w:rPr>
          <w:rFonts w:eastAsiaTheme="minorEastAsia"/>
          <w:b/>
          <w:bCs/>
          <w:i/>
          <w:iCs/>
        </w:rPr>
        <w:t>Pre-factibilidad</w:t>
      </w:r>
      <w:proofErr w:type="spellEnd"/>
      <w:r w:rsidRPr="6DAD5ECA">
        <w:rPr>
          <w:rFonts w:eastAsiaTheme="minorEastAsia"/>
          <w:b/>
          <w:bCs/>
          <w:i/>
          <w:iCs/>
        </w:rPr>
        <w:t xml:space="preserve"> económica:</w:t>
      </w:r>
      <w:r w:rsidR="7ECF1CCB" w:rsidRPr="6DAD5ECA">
        <w:rPr>
          <w:rFonts w:eastAsiaTheme="minorEastAsia"/>
          <w:b/>
          <w:bCs/>
          <w:i/>
          <w:iCs/>
        </w:rPr>
        <w:t xml:space="preserve"> </w:t>
      </w:r>
      <w:r w:rsidR="7ECF1CCB" w:rsidRPr="6DAD5ECA">
        <w:rPr>
          <w:rFonts w:eastAsiaTheme="minorEastAsia"/>
        </w:rPr>
        <w:t>Análisis preliminar orientado a determinar la viabilidad económica de un proyecto, mediante la estimación de costos, beneficios esperados e indicadores básicos de rentabilidad, con el fin de establecer si existen elementos suficientes para recomendar su continuidad hacia una etapa de mayor profundidad analítica (factibilidad).</w:t>
      </w:r>
      <w:r w:rsidRPr="6DAD5ECA">
        <w:rPr>
          <w:rStyle w:val="Refdenotaalpie"/>
        </w:rPr>
        <w:footnoteReference w:id="6"/>
      </w:r>
    </w:p>
    <w:p w14:paraId="18AEED42" w14:textId="0A56A026" w:rsidR="7ECF1CCB" w:rsidRDefault="7ECF1CCB" w:rsidP="6DAD5ECA">
      <w:pPr>
        <w:spacing w:before="200" w:after="80" w:line="276" w:lineRule="auto"/>
        <w:jc w:val="both"/>
        <w:rPr>
          <w:lang w:val="es-ES"/>
        </w:rPr>
      </w:pPr>
      <w:r w:rsidRPr="6DAD5ECA">
        <w:rPr>
          <w:rFonts w:eastAsiaTheme="minorEastAsia"/>
          <w:b/>
          <w:bCs/>
          <w:i/>
          <w:iCs/>
          <w:lang w:val="es-ES"/>
        </w:rPr>
        <w:t>Antecedentes</w:t>
      </w:r>
      <w:r w:rsidR="6EFA6F09" w:rsidRPr="6DAD5ECA">
        <w:rPr>
          <w:rFonts w:eastAsiaTheme="minorEastAsia"/>
          <w:b/>
          <w:bCs/>
          <w:i/>
          <w:iCs/>
          <w:lang w:val="es-ES"/>
        </w:rPr>
        <w:t xml:space="preserve">: </w:t>
      </w:r>
      <w:r w:rsidRPr="6DAD5ECA">
        <w:rPr>
          <w:rFonts w:eastAsiaTheme="minorEastAsia"/>
          <w:lang w:val="es-ES"/>
        </w:rPr>
        <w:t>Conjunto de estudios, investigaciones o desarrollos previos —teóricos, técnicos o empíricos— relacionados directamente con el problema o la temática abordada, cuya revisión permite establecer el punto de partida del conocimiento existente, identificar vacíos y fundamentar la pertinencia de la nueva propuesta.</w:t>
      </w:r>
      <w:r w:rsidRPr="6DAD5ECA">
        <w:rPr>
          <w:rStyle w:val="Refdenotaalpie"/>
          <w:lang w:val="es-ES"/>
        </w:rPr>
        <w:footnoteReference w:id="7"/>
      </w:r>
    </w:p>
    <w:p w14:paraId="7A4899DC" w14:textId="7E652148" w:rsidR="7ECF1CCB" w:rsidRDefault="7ECF1CCB" w:rsidP="6DAD5ECA">
      <w:pPr>
        <w:spacing w:before="200" w:after="80" w:line="276" w:lineRule="auto"/>
        <w:jc w:val="both"/>
        <w:rPr>
          <w:lang w:val="es-ES"/>
        </w:rPr>
      </w:pPr>
      <w:r w:rsidRPr="6DAD5ECA">
        <w:rPr>
          <w:rFonts w:eastAsiaTheme="minorEastAsia"/>
          <w:b/>
          <w:bCs/>
          <w:i/>
          <w:iCs/>
          <w:lang w:val="es-ES"/>
        </w:rPr>
        <w:t>Economía azul</w:t>
      </w:r>
      <w:r w:rsidR="5C22DE64" w:rsidRPr="6DAD5ECA">
        <w:rPr>
          <w:rFonts w:eastAsiaTheme="minorEastAsia"/>
          <w:b/>
          <w:bCs/>
          <w:i/>
          <w:iCs/>
          <w:lang w:val="es-ES"/>
        </w:rPr>
        <w:t xml:space="preserve">: </w:t>
      </w:r>
      <w:r w:rsidRPr="6DAD5ECA">
        <w:rPr>
          <w:rFonts w:eastAsiaTheme="minorEastAsia"/>
          <w:lang w:val="es-ES"/>
        </w:rPr>
        <w:t>Modelo de desarrollo que promueve el uso sostenible de los recursos oceánicos y costeros para generar crecimiento económico, mejorar los medios de vida y crear empleo, preservando al mismo tiempo la salud de los ecosistemas marinos; articula las dimensiones ambiental, social y económica en los sectores vinculados al mar y las zonas costeras.</w:t>
      </w:r>
      <w:r w:rsidRPr="6DAD5ECA">
        <w:rPr>
          <w:rStyle w:val="Refdenotaalpie"/>
          <w:lang w:val="es-ES"/>
        </w:rPr>
        <w:footnoteReference w:id="8"/>
      </w:r>
    </w:p>
    <w:p w14:paraId="58B4C578" w14:textId="630F6791" w:rsidR="6DAD5ECA" w:rsidRDefault="6DAD5ECA" w:rsidP="6DAD5ECA">
      <w:pPr>
        <w:spacing w:after="0"/>
        <w:jc w:val="both"/>
      </w:pPr>
    </w:p>
    <w:p w14:paraId="0751970B" w14:textId="32CA0AAF" w:rsidR="0715A45A" w:rsidRDefault="0715A45A" w:rsidP="6DAD5ECA">
      <w:pPr>
        <w:jc w:val="both"/>
        <w:rPr>
          <w:lang w:val="es-ES"/>
        </w:rPr>
      </w:pPr>
    </w:p>
    <w:sectPr w:rsidR="0715A45A">
      <w:headerReference w:type="default" r:id="rId7"/>
      <w:footerReference w:type="default" r:id="rId8"/>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313E7" w14:textId="77777777" w:rsidR="000F02CA" w:rsidRDefault="000F02CA">
      <w:pPr>
        <w:spacing w:after="0" w:line="240" w:lineRule="auto"/>
      </w:pPr>
      <w:r>
        <w:separator/>
      </w:r>
    </w:p>
  </w:endnote>
  <w:endnote w:type="continuationSeparator" w:id="0">
    <w:p w14:paraId="060D7C12" w14:textId="77777777" w:rsidR="000F02CA" w:rsidRDefault="000F0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DAD5ECA" w14:paraId="33DB8B3F" w14:textId="77777777" w:rsidTr="6DAD5ECA">
      <w:trPr>
        <w:trHeight w:val="300"/>
      </w:trPr>
      <w:tc>
        <w:tcPr>
          <w:tcW w:w="2945" w:type="dxa"/>
        </w:tcPr>
        <w:p w14:paraId="3E443763" w14:textId="6DAD738A" w:rsidR="6DAD5ECA" w:rsidRDefault="6DAD5ECA" w:rsidP="6DAD5ECA">
          <w:pPr>
            <w:pStyle w:val="Encabezado"/>
            <w:ind w:left="-115"/>
          </w:pPr>
        </w:p>
      </w:tc>
      <w:tc>
        <w:tcPr>
          <w:tcW w:w="2945" w:type="dxa"/>
        </w:tcPr>
        <w:p w14:paraId="6C9D67FC" w14:textId="3F6F5656" w:rsidR="6DAD5ECA" w:rsidRDefault="6DAD5ECA" w:rsidP="6DAD5ECA">
          <w:pPr>
            <w:pStyle w:val="Encabezado"/>
            <w:jc w:val="center"/>
          </w:pPr>
        </w:p>
      </w:tc>
      <w:tc>
        <w:tcPr>
          <w:tcW w:w="2945" w:type="dxa"/>
        </w:tcPr>
        <w:p w14:paraId="40E92B04" w14:textId="5959FBA8" w:rsidR="6DAD5ECA" w:rsidRDefault="6DAD5ECA" w:rsidP="6DAD5ECA">
          <w:pPr>
            <w:pStyle w:val="Encabezado"/>
            <w:ind w:right="-115"/>
            <w:jc w:val="right"/>
          </w:pPr>
        </w:p>
      </w:tc>
    </w:tr>
  </w:tbl>
  <w:p w14:paraId="288AFF62" w14:textId="290F79FE" w:rsidR="6DAD5ECA" w:rsidRDefault="6DAD5ECA" w:rsidP="6DAD5E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376FE" w14:textId="77777777" w:rsidR="000F02CA" w:rsidRDefault="000F02CA">
      <w:pPr>
        <w:spacing w:after="0" w:line="240" w:lineRule="auto"/>
      </w:pPr>
      <w:r>
        <w:separator/>
      </w:r>
    </w:p>
  </w:footnote>
  <w:footnote w:type="continuationSeparator" w:id="0">
    <w:p w14:paraId="3339A09E" w14:textId="77777777" w:rsidR="000F02CA" w:rsidRDefault="000F02CA">
      <w:pPr>
        <w:spacing w:after="0" w:line="240" w:lineRule="auto"/>
      </w:pPr>
      <w:r>
        <w:continuationSeparator/>
      </w:r>
    </w:p>
  </w:footnote>
  <w:footnote w:id="1">
    <w:p w14:paraId="313050C2" w14:textId="0D00081B"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Ministerio de Ciencia, Tecnología e Innovación [</w:t>
      </w:r>
      <w:proofErr w:type="spellStart"/>
      <w:r w:rsidRPr="6DAD5ECA">
        <w:rPr>
          <w:rFonts w:ascii="Aptos" w:eastAsia="Aptos" w:hAnsi="Aptos" w:cs="Aptos"/>
        </w:rPr>
        <w:t>Minciencias</w:t>
      </w:r>
      <w:proofErr w:type="spellEnd"/>
      <w:r w:rsidRPr="6DAD5ECA">
        <w:rPr>
          <w:rFonts w:ascii="Aptos" w:eastAsia="Aptos" w:hAnsi="Aptos" w:cs="Aptos"/>
        </w:rPr>
        <w:t xml:space="preserve">]. (2021). Documento de tipologías de proyectos (Versión 07). </w:t>
      </w:r>
      <w:hyperlink r:id="rId1">
        <w:r w:rsidRPr="6DAD5ECA">
          <w:rPr>
            <w:rStyle w:val="Hipervnculo"/>
            <w:rFonts w:ascii="Aptos" w:eastAsia="Aptos" w:hAnsi="Aptos" w:cs="Aptos"/>
            <w:color w:val="0563C1"/>
          </w:rPr>
          <w:t>https://minciencias.gov.co/sites/default/files/upload/noticias/documento_de_tipologias_de_proyecto_vr_07.pdf</w:t>
        </w:r>
      </w:hyperlink>
    </w:p>
  </w:footnote>
  <w:footnote w:id="2">
    <w:p w14:paraId="7668F5B8" w14:textId="0F44881E"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Ministerio de Ciencia, Tecnología e Innovación [</w:t>
      </w:r>
      <w:proofErr w:type="spellStart"/>
      <w:r w:rsidRPr="6DAD5ECA">
        <w:rPr>
          <w:rFonts w:ascii="Aptos" w:eastAsia="Aptos" w:hAnsi="Aptos" w:cs="Aptos"/>
        </w:rPr>
        <w:t>Minciencias</w:t>
      </w:r>
      <w:proofErr w:type="spellEnd"/>
      <w:r w:rsidRPr="6DAD5ECA">
        <w:rPr>
          <w:rFonts w:ascii="Aptos" w:eastAsia="Aptos" w:hAnsi="Aptos" w:cs="Aptos"/>
        </w:rPr>
        <w:t>]. (2021). Documento de tipologías de proyectos (Versión 07). https://minciencias.gov.co/sites/default/files/upload/noticias/documento_de_tipologias_de_proyecto_vr_07.pdf</w:t>
      </w:r>
    </w:p>
  </w:footnote>
  <w:footnote w:id="3">
    <w:p w14:paraId="68552D76" w14:textId="159C70F1"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Pineda, E., Lizcano, A. R., &amp; Parra, J. A. (2021). Planteamiento del problema de investigación en educación. Plumilla Educativa, 28(2), 57–79. https://doi.org/10.30554/pe.2.4300.2021</w:t>
      </w:r>
    </w:p>
  </w:footnote>
  <w:footnote w:id="4">
    <w:p w14:paraId="21A1B83E" w14:textId="0B1F9A31"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Ministerio de Ciencia, Tecnología e Innovación [</w:t>
      </w:r>
      <w:proofErr w:type="spellStart"/>
      <w:r w:rsidRPr="6DAD5ECA">
        <w:rPr>
          <w:rFonts w:ascii="Aptos" w:eastAsia="Aptos" w:hAnsi="Aptos" w:cs="Aptos"/>
        </w:rPr>
        <w:t>Minciencias</w:t>
      </w:r>
      <w:proofErr w:type="spellEnd"/>
      <w:r w:rsidRPr="6DAD5ECA">
        <w:rPr>
          <w:rFonts w:ascii="Aptos" w:eastAsia="Aptos" w:hAnsi="Aptos" w:cs="Aptos"/>
        </w:rPr>
        <w:t xml:space="preserve">]. (2021). Documento de tipologías de proyectos (Versión 07), con base en Project Management </w:t>
      </w:r>
      <w:proofErr w:type="spellStart"/>
      <w:r w:rsidRPr="6DAD5ECA">
        <w:rPr>
          <w:rFonts w:ascii="Aptos" w:eastAsia="Aptos" w:hAnsi="Aptos" w:cs="Aptos"/>
        </w:rPr>
        <w:t>Institute</w:t>
      </w:r>
      <w:proofErr w:type="spellEnd"/>
      <w:r w:rsidRPr="6DAD5ECA">
        <w:rPr>
          <w:rFonts w:ascii="Aptos" w:eastAsia="Aptos" w:hAnsi="Aptos" w:cs="Aptos"/>
        </w:rPr>
        <w:t xml:space="preserve"> [PMI]. (2017). Guía de los fundamentos para la dirección de proyectos (Guía del PMBOK) (6.ª ed.). https://minciencias.gov.co/sites/default/files/upload/noticias/documento_de_tipologias_de_proyecto_vr_07.pdf</w:t>
      </w:r>
    </w:p>
  </w:footnote>
  <w:footnote w:id="5">
    <w:p w14:paraId="4A22E024" w14:textId="6C1F1623"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Pinto, R. (2023). Escalabilidad y sostenibilidad en implementaciones de blockchain para auditoría informática: Retos y soluciones futuras. </w:t>
      </w:r>
      <w:r w:rsidRPr="6DAD5ECA">
        <w:rPr>
          <w:rFonts w:ascii="Aptos" w:eastAsia="Aptos" w:hAnsi="Aptos" w:cs="Aptos"/>
          <w:lang w:val="en-US"/>
        </w:rPr>
        <w:t>Technology Rain Journal, 2(1), e14. https://doi.org/10.55204/trj.v2i2.14</w:t>
      </w:r>
    </w:p>
  </w:footnote>
  <w:footnote w:id="6">
    <w:p w14:paraId="3BC09C37" w14:textId="70408282"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w:t>
      </w:r>
      <w:r w:rsidRPr="6DAD5ECA">
        <w:rPr>
          <w:rFonts w:ascii="Aptos" w:eastAsia="Aptos" w:hAnsi="Aptos" w:cs="Aptos"/>
          <w:lang w:val="en-US"/>
        </w:rPr>
        <w:t xml:space="preserve">Segura-Ortiz, J. C. (2015). </w:t>
      </w:r>
      <w:r w:rsidRPr="6DAD5ECA">
        <w:rPr>
          <w:rFonts w:ascii="Aptos" w:eastAsia="Aptos" w:hAnsi="Aptos" w:cs="Aptos"/>
        </w:rPr>
        <w:t>Viabilidad económica, social y financiera de proyectos urbanos frente al desarrollo territorial. Revista Dimensión Empresarial, 13(2), 55–74. https://doi.org/10.15665/rde.v13i2.541</w:t>
      </w:r>
    </w:p>
  </w:footnote>
  <w:footnote w:id="7">
    <w:p w14:paraId="4CB72AC5" w14:textId="27A9E3EC"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Gómez Vargas, M., Galeano Higuita, C., &amp; Jaramillo Muñoz, D. A. (2015). El estado del arte: Una metodología de investigación. Revista Colombiana de Ciencias Sociales, 6(2), 423–442. https://doi.org/10.21501/22161201.1469</w:t>
      </w:r>
    </w:p>
  </w:footnote>
  <w:footnote w:id="8">
    <w:p w14:paraId="30681F90" w14:textId="6C5DABA5" w:rsidR="6DAD5ECA" w:rsidRDefault="6DAD5ECA" w:rsidP="6DAD5ECA">
      <w:pPr>
        <w:pStyle w:val="Textonotapie"/>
      </w:pPr>
      <w:r w:rsidRPr="6DAD5ECA">
        <w:rPr>
          <w:rStyle w:val="Refdenotaalpie"/>
          <w:rFonts w:ascii="Aptos" w:eastAsia="Aptos" w:hAnsi="Aptos" w:cs="Aptos"/>
        </w:rPr>
        <w:footnoteRef/>
      </w:r>
      <w:r w:rsidRPr="6DAD5ECA">
        <w:rPr>
          <w:rFonts w:ascii="Aptos" w:eastAsia="Aptos" w:hAnsi="Aptos" w:cs="Aptos"/>
        </w:rPr>
        <w:t xml:space="preserve"> Guarín Flórez, V. (2024). Tendencias de investigación en economía azul basadas en el árbol de la ciencia. </w:t>
      </w:r>
      <w:proofErr w:type="spellStart"/>
      <w:r w:rsidRPr="6DAD5ECA">
        <w:rPr>
          <w:rFonts w:ascii="Aptos" w:eastAsia="Aptos" w:hAnsi="Aptos" w:cs="Aptos"/>
        </w:rPr>
        <w:t>Teuken</w:t>
      </w:r>
      <w:proofErr w:type="spellEnd"/>
      <w:r w:rsidRPr="6DAD5ECA">
        <w:rPr>
          <w:rFonts w:ascii="Aptos" w:eastAsia="Aptos" w:hAnsi="Aptos" w:cs="Aptos"/>
        </w:rPr>
        <w:t xml:space="preserve"> </w:t>
      </w:r>
      <w:proofErr w:type="spellStart"/>
      <w:r w:rsidRPr="6DAD5ECA">
        <w:rPr>
          <w:rFonts w:ascii="Aptos" w:eastAsia="Aptos" w:hAnsi="Aptos" w:cs="Aptos"/>
        </w:rPr>
        <w:t>Bidikay</w:t>
      </w:r>
      <w:proofErr w:type="spellEnd"/>
      <w:r w:rsidRPr="6DAD5ECA">
        <w:rPr>
          <w:rFonts w:ascii="Aptos" w:eastAsia="Aptos" w:hAnsi="Aptos" w:cs="Aptos"/>
        </w:rPr>
        <w:t>, 17(28). https://doi.org/10.33571/teuken.v17n28a1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E0F3C" w14:textId="5D65864E" w:rsidR="00893642" w:rsidRPr="00893642" w:rsidRDefault="00893642" w:rsidP="00893642">
    <w:pPr>
      <w:spacing w:after="0" w:line="276" w:lineRule="auto"/>
      <w:rPr>
        <w:lang w:val="es-ES"/>
      </w:rPr>
    </w:pPr>
    <w:r w:rsidRPr="00893642">
      <w:rPr>
        <w:noProof/>
      </w:rPr>
      <w:drawing>
        <wp:anchor distT="0" distB="0" distL="114300" distR="114300" simplePos="0" relativeHeight="251658240" behindDoc="1" locked="0" layoutInCell="1" allowOverlap="1" wp14:anchorId="37A73B4F" wp14:editId="32F00916">
          <wp:simplePos x="0" y="0"/>
          <wp:positionH relativeFrom="column">
            <wp:posOffset>5092700</wp:posOffset>
          </wp:positionH>
          <wp:positionV relativeFrom="paragraph">
            <wp:posOffset>1270</wp:posOffset>
          </wp:positionV>
          <wp:extent cx="1447800" cy="742315"/>
          <wp:effectExtent l="0" t="0" r="0" b="635"/>
          <wp:wrapNone/>
          <wp:docPr id="13039245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42315"/>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5C41F093" wp14:editId="4D5BDD3D">
          <wp:simplePos x="0" y="0"/>
          <wp:positionH relativeFrom="column">
            <wp:posOffset>0</wp:posOffset>
          </wp:positionH>
          <wp:positionV relativeFrom="paragraph">
            <wp:posOffset>1270</wp:posOffset>
          </wp:positionV>
          <wp:extent cx="1003300" cy="1003300"/>
          <wp:effectExtent l="0" t="0" r="0" b="0"/>
          <wp:wrapNone/>
          <wp:docPr id="82" name="Imagen 8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Logotipo&#10;&#10;Descripción generada automáticamente"/>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03300" cy="1003300"/>
                  </a:xfrm>
                  <a:prstGeom prst="rect">
                    <a:avLst/>
                  </a:prstGeom>
                  <a:noFill/>
                  <a:ln>
                    <a:noFill/>
                  </a:ln>
                </pic:spPr>
              </pic:pic>
            </a:graphicData>
          </a:graphic>
        </wp:anchor>
      </w:drawing>
    </w:r>
    <w:r>
      <w:t xml:space="preserve">          </w:t>
    </w:r>
  </w:p>
  <w:p w14:paraId="4F2944EC" w14:textId="54DA0DBE" w:rsidR="00893642" w:rsidRDefault="00893642" w:rsidP="00893642">
    <w:pPr>
      <w:spacing w:after="0" w:line="276" w:lineRule="auto"/>
      <w:jc w:val="center"/>
    </w:pPr>
    <w:r w:rsidRPr="0715A45A">
      <w:rPr>
        <w:rFonts w:ascii="Aptos" w:eastAsia="Aptos" w:hAnsi="Aptos" w:cs="Aptos"/>
        <w:b/>
        <w:bCs/>
        <w:color w:val="0B3D5C"/>
        <w:sz w:val="34"/>
        <w:szCs w:val="34"/>
        <w:lang w:val="es-ES"/>
      </w:rPr>
      <w:t xml:space="preserve">FICHA DE PROYECTO </w:t>
    </w:r>
    <w:r>
      <w:rPr>
        <w:rFonts w:ascii="Aptos" w:eastAsia="Aptos" w:hAnsi="Aptos" w:cs="Aptos"/>
        <w:b/>
        <w:bCs/>
        <w:color w:val="0B3D5C"/>
        <w:sz w:val="34"/>
        <w:szCs w:val="34"/>
        <w:lang w:val="es-ES"/>
      </w:rPr>
      <w:t xml:space="preserve"> </w:t>
    </w:r>
  </w:p>
  <w:p w14:paraId="7D45F084" w14:textId="77777777" w:rsidR="00893642" w:rsidRDefault="00893642" w:rsidP="00893642">
    <w:pPr>
      <w:spacing w:after="0" w:line="276" w:lineRule="auto"/>
      <w:jc w:val="center"/>
    </w:pPr>
    <w:r w:rsidRPr="6DAD5ECA">
      <w:rPr>
        <w:rFonts w:ascii="Aptos" w:eastAsia="Aptos" w:hAnsi="Aptos" w:cs="Aptos"/>
        <w:b/>
        <w:bCs/>
        <w:color w:val="1F6E8C"/>
        <w:sz w:val="30"/>
        <w:szCs w:val="30"/>
        <w:lang w:val="es-ES"/>
      </w:rPr>
      <w:t xml:space="preserve"> CARIBE BLUE CHALLENGE</w:t>
    </w:r>
  </w:p>
  <w:p w14:paraId="7F28EF89" w14:textId="77777777" w:rsidR="00893642" w:rsidRDefault="00893642" w:rsidP="00893642">
    <w:pPr>
      <w:spacing w:after="0" w:line="276" w:lineRule="auto"/>
      <w:jc w:val="center"/>
      <w:rPr>
        <w:rFonts w:ascii="Aptos" w:eastAsia="Aptos" w:hAnsi="Aptos" w:cs="Aptos"/>
        <w:i/>
        <w:iCs/>
        <w:color w:val="5A6B72"/>
        <w:sz w:val="22"/>
        <w:szCs w:val="22"/>
        <w:lang w:val="es-ES"/>
      </w:rPr>
    </w:pPr>
    <w:r w:rsidRPr="0715A45A">
      <w:rPr>
        <w:rFonts w:ascii="Aptos" w:eastAsia="Aptos" w:hAnsi="Aptos" w:cs="Aptos"/>
        <w:i/>
        <w:iCs/>
        <w:color w:val="5A6B72"/>
        <w:sz w:val="22"/>
        <w:szCs w:val="22"/>
        <w:lang w:val="es-ES"/>
      </w:rPr>
      <w:t>Formato inicial para perfil del proyecto postulado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8D11B"/>
    <w:multiLevelType w:val="multilevel"/>
    <w:tmpl w:val="EE8631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13E5ED7"/>
    <w:multiLevelType w:val="multilevel"/>
    <w:tmpl w:val="521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02944"/>
    <w:multiLevelType w:val="multilevel"/>
    <w:tmpl w:val="A96E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0770087">
    <w:abstractNumId w:val="0"/>
  </w:num>
  <w:num w:numId="2" w16cid:durableId="1670478649">
    <w:abstractNumId w:val="2"/>
  </w:num>
  <w:num w:numId="3" w16cid:durableId="1633244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10B"/>
    <w:rsid w:val="00025E4F"/>
    <w:rsid w:val="000F02CA"/>
    <w:rsid w:val="00116BA0"/>
    <w:rsid w:val="001524FA"/>
    <w:rsid w:val="001978C0"/>
    <w:rsid w:val="002453A2"/>
    <w:rsid w:val="00271020"/>
    <w:rsid w:val="0031710B"/>
    <w:rsid w:val="003807A7"/>
    <w:rsid w:val="003C26BD"/>
    <w:rsid w:val="00464C55"/>
    <w:rsid w:val="004C468A"/>
    <w:rsid w:val="005949A2"/>
    <w:rsid w:val="005C05F9"/>
    <w:rsid w:val="005F0A2C"/>
    <w:rsid w:val="0063758A"/>
    <w:rsid w:val="00664551"/>
    <w:rsid w:val="006B740B"/>
    <w:rsid w:val="006D5D2E"/>
    <w:rsid w:val="00792A4E"/>
    <w:rsid w:val="007A58C1"/>
    <w:rsid w:val="007E5A40"/>
    <w:rsid w:val="00801091"/>
    <w:rsid w:val="00831CFC"/>
    <w:rsid w:val="008665C6"/>
    <w:rsid w:val="00893642"/>
    <w:rsid w:val="0089D51D"/>
    <w:rsid w:val="00941A42"/>
    <w:rsid w:val="00A05CDD"/>
    <w:rsid w:val="00A945F7"/>
    <w:rsid w:val="00AC0713"/>
    <w:rsid w:val="00AD2ABF"/>
    <w:rsid w:val="00BB3D0B"/>
    <w:rsid w:val="00BB487D"/>
    <w:rsid w:val="00BC00D7"/>
    <w:rsid w:val="00C427EB"/>
    <w:rsid w:val="00C73AD7"/>
    <w:rsid w:val="00D144C2"/>
    <w:rsid w:val="00E70CA7"/>
    <w:rsid w:val="00F13A9E"/>
    <w:rsid w:val="0111362A"/>
    <w:rsid w:val="0140B57F"/>
    <w:rsid w:val="0166C284"/>
    <w:rsid w:val="01745F56"/>
    <w:rsid w:val="01B41D33"/>
    <w:rsid w:val="01B4B838"/>
    <w:rsid w:val="034DD592"/>
    <w:rsid w:val="03C61EEA"/>
    <w:rsid w:val="04909FCD"/>
    <w:rsid w:val="054C2AD7"/>
    <w:rsid w:val="058FAB77"/>
    <w:rsid w:val="0715A45A"/>
    <w:rsid w:val="07293961"/>
    <w:rsid w:val="072C33C9"/>
    <w:rsid w:val="07583CCC"/>
    <w:rsid w:val="08839EA9"/>
    <w:rsid w:val="089D57E7"/>
    <w:rsid w:val="09C05418"/>
    <w:rsid w:val="09E6FD69"/>
    <w:rsid w:val="09F45521"/>
    <w:rsid w:val="0ADF4721"/>
    <w:rsid w:val="0B61C6E9"/>
    <w:rsid w:val="0B796278"/>
    <w:rsid w:val="0BB076A4"/>
    <w:rsid w:val="0CA45206"/>
    <w:rsid w:val="0CEA568E"/>
    <w:rsid w:val="0D42641B"/>
    <w:rsid w:val="0DC47464"/>
    <w:rsid w:val="0E0B229C"/>
    <w:rsid w:val="0E48652A"/>
    <w:rsid w:val="0E6BA863"/>
    <w:rsid w:val="0EDFEB6C"/>
    <w:rsid w:val="10A77805"/>
    <w:rsid w:val="11030D37"/>
    <w:rsid w:val="11A604A7"/>
    <w:rsid w:val="122CA950"/>
    <w:rsid w:val="1262FCB2"/>
    <w:rsid w:val="12EAF184"/>
    <w:rsid w:val="12FEA2F1"/>
    <w:rsid w:val="13C00C59"/>
    <w:rsid w:val="143F8FF0"/>
    <w:rsid w:val="145FCA5E"/>
    <w:rsid w:val="146F1E49"/>
    <w:rsid w:val="152653FA"/>
    <w:rsid w:val="156B2FD7"/>
    <w:rsid w:val="158D4FE4"/>
    <w:rsid w:val="15CCF8D9"/>
    <w:rsid w:val="16BB957B"/>
    <w:rsid w:val="1A6B94E2"/>
    <w:rsid w:val="1B2003DE"/>
    <w:rsid w:val="1B43362D"/>
    <w:rsid w:val="1C01EDA2"/>
    <w:rsid w:val="1C19F72C"/>
    <w:rsid w:val="1C317669"/>
    <w:rsid w:val="1D20D4CE"/>
    <w:rsid w:val="1D67E850"/>
    <w:rsid w:val="1D8F2C0B"/>
    <w:rsid w:val="1DA9B94E"/>
    <w:rsid w:val="1ED8B0BE"/>
    <w:rsid w:val="1F1E02E8"/>
    <w:rsid w:val="1F418967"/>
    <w:rsid w:val="1F8128D7"/>
    <w:rsid w:val="1F8B240D"/>
    <w:rsid w:val="1F920D2A"/>
    <w:rsid w:val="1FA1E90A"/>
    <w:rsid w:val="202CC03A"/>
    <w:rsid w:val="2030EEA8"/>
    <w:rsid w:val="20333D65"/>
    <w:rsid w:val="20CF5835"/>
    <w:rsid w:val="21B0A7D6"/>
    <w:rsid w:val="2258C3C3"/>
    <w:rsid w:val="22BDD18E"/>
    <w:rsid w:val="233F9044"/>
    <w:rsid w:val="235525C3"/>
    <w:rsid w:val="243F2B5E"/>
    <w:rsid w:val="245F3866"/>
    <w:rsid w:val="24B25C8E"/>
    <w:rsid w:val="25281CF1"/>
    <w:rsid w:val="256FAEB5"/>
    <w:rsid w:val="257016FF"/>
    <w:rsid w:val="26766853"/>
    <w:rsid w:val="26AF022E"/>
    <w:rsid w:val="26DB1179"/>
    <w:rsid w:val="274A2C09"/>
    <w:rsid w:val="27C45549"/>
    <w:rsid w:val="2842954A"/>
    <w:rsid w:val="28DC71D7"/>
    <w:rsid w:val="296F47D2"/>
    <w:rsid w:val="2AA00123"/>
    <w:rsid w:val="2AEDCB03"/>
    <w:rsid w:val="2AF01F29"/>
    <w:rsid w:val="2B5E6DB3"/>
    <w:rsid w:val="2BAC24B0"/>
    <w:rsid w:val="2CBDC2BD"/>
    <w:rsid w:val="2E192207"/>
    <w:rsid w:val="30C8011A"/>
    <w:rsid w:val="31129322"/>
    <w:rsid w:val="32010AA7"/>
    <w:rsid w:val="321E0C3D"/>
    <w:rsid w:val="3223A8AD"/>
    <w:rsid w:val="32673917"/>
    <w:rsid w:val="326C152E"/>
    <w:rsid w:val="32B7C280"/>
    <w:rsid w:val="32F13E25"/>
    <w:rsid w:val="3301C3A2"/>
    <w:rsid w:val="3475D07F"/>
    <w:rsid w:val="347BBE34"/>
    <w:rsid w:val="351DFC32"/>
    <w:rsid w:val="35216AA3"/>
    <w:rsid w:val="36868CED"/>
    <w:rsid w:val="3727834F"/>
    <w:rsid w:val="3799B1C5"/>
    <w:rsid w:val="37DB8FC6"/>
    <w:rsid w:val="38C9C974"/>
    <w:rsid w:val="38E7B278"/>
    <w:rsid w:val="392316DF"/>
    <w:rsid w:val="3939DC21"/>
    <w:rsid w:val="3AA426B7"/>
    <w:rsid w:val="3AFE8CAA"/>
    <w:rsid w:val="3AFF6C3B"/>
    <w:rsid w:val="3B0AE4F3"/>
    <w:rsid w:val="3B2791AC"/>
    <w:rsid w:val="3DFCFD60"/>
    <w:rsid w:val="3E678001"/>
    <w:rsid w:val="41B5230D"/>
    <w:rsid w:val="423A7555"/>
    <w:rsid w:val="4259D17A"/>
    <w:rsid w:val="425E8571"/>
    <w:rsid w:val="42AFE9CD"/>
    <w:rsid w:val="437324C1"/>
    <w:rsid w:val="43B9F597"/>
    <w:rsid w:val="44F09F17"/>
    <w:rsid w:val="457C1953"/>
    <w:rsid w:val="46354946"/>
    <w:rsid w:val="46DBC968"/>
    <w:rsid w:val="472260FB"/>
    <w:rsid w:val="47AC3F14"/>
    <w:rsid w:val="47E34DD0"/>
    <w:rsid w:val="490D130E"/>
    <w:rsid w:val="49937AA9"/>
    <w:rsid w:val="49971DB6"/>
    <w:rsid w:val="49B12EFD"/>
    <w:rsid w:val="4A1561D1"/>
    <w:rsid w:val="4A61962E"/>
    <w:rsid w:val="4B505B3A"/>
    <w:rsid w:val="4C7834B9"/>
    <w:rsid w:val="4CFA63D0"/>
    <w:rsid w:val="4F5BC7F7"/>
    <w:rsid w:val="50D66047"/>
    <w:rsid w:val="50F3929C"/>
    <w:rsid w:val="523D3792"/>
    <w:rsid w:val="527C8D42"/>
    <w:rsid w:val="52806E45"/>
    <w:rsid w:val="52CC4904"/>
    <w:rsid w:val="532558FF"/>
    <w:rsid w:val="53FB5EF0"/>
    <w:rsid w:val="54BBED5D"/>
    <w:rsid w:val="54DAA231"/>
    <w:rsid w:val="554491F3"/>
    <w:rsid w:val="55D6F3DC"/>
    <w:rsid w:val="55FC2FCB"/>
    <w:rsid w:val="56FACC3D"/>
    <w:rsid w:val="577F78BA"/>
    <w:rsid w:val="57B567E0"/>
    <w:rsid w:val="57B7ADE6"/>
    <w:rsid w:val="58577F1B"/>
    <w:rsid w:val="598C8358"/>
    <w:rsid w:val="5A163A7E"/>
    <w:rsid w:val="5B527840"/>
    <w:rsid w:val="5B5A29B9"/>
    <w:rsid w:val="5B6ECCB4"/>
    <w:rsid w:val="5C22DE64"/>
    <w:rsid w:val="5CC02946"/>
    <w:rsid w:val="5D13A72F"/>
    <w:rsid w:val="5D97DA72"/>
    <w:rsid w:val="5FC58D39"/>
    <w:rsid w:val="60FE939B"/>
    <w:rsid w:val="6146ECD6"/>
    <w:rsid w:val="6300FDEF"/>
    <w:rsid w:val="63CB9D16"/>
    <w:rsid w:val="647B9365"/>
    <w:rsid w:val="6607BFBA"/>
    <w:rsid w:val="660C41C9"/>
    <w:rsid w:val="664C71E3"/>
    <w:rsid w:val="6678A84F"/>
    <w:rsid w:val="66880A50"/>
    <w:rsid w:val="674C501A"/>
    <w:rsid w:val="67AC1A94"/>
    <w:rsid w:val="68967752"/>
    <w:rsid w:val="68A69DE2"/>
    <w:rsid w:val="68E3D8DB"/>
    <w:rsid w:val="6964A31B"/>
    <w:rsid w:val="69B832A6"/>
    <w:rsid w:val="69E1F949"/>
    <w:rsid w:val="6A95A02D"/>
    <w:rsid w:val="6B145602"/>
    <w:rsid w:val="6C3470AE"/>
    <w:rsid w:val="6CD1C97F"/>
    <w:rsid w:val="6D754D98"/>
    <w:rsid w:val="6D78FFE3"/>
    <w:rsid w:val="6DAD5ECA"/>
    <w:rsid w:val="6E451877"/>
    <w:rsid w:val="6E56FF0A"/>
    <w:rsid w:val="6E79FF06"/>
    <w:rsid w:val="6E8761C4"/>
    <w:rsid w:val="6EFA6F09"/>
    <w:rsid w:val="6F06C876"/>
    <w:rsid w:val="6FECF077"/>
    <w:rsid w:val="6FF868CD"/>
    <w:rsid w:val="707EDF29"/>
    <w:rsid w:val="70E26713"/>
    <w:rsid w:val="71919B0D"/>
    <w:rsid w:val="71FD6F4A"/>
    <w:rsid w:val="72BD5F8D"/>
    <w:rsid w:val="73059AD3"/>
    <w:rsid w:val="7322F79C"/>
    <w:rsid w:val="735C2E88"/>
    <w:rsid w:val="7360FF60"/>
    <w:rsid w:val="73C269A0"/>
    <w:rsid w:val="7448E66B"/>
    <w:rsid w:val="74EB2541"/>
    <w:rsid w:val="77C207CF"/>
    <w:rsid w:val="787241C3"/>
    <w:rsid w:val="7ABFC5F8"/>
    <w:rsid w:val="7B06CACF"/>
    <w:rsid w:val="7B3B35D7"/>
    <w:rsid w:val="7C2CE8DD"/>
    <w:rsid w:val="7CAB26CE"/>
    <w:rsid w:val="7D54F385"/>
    <w:rsid w:val="7D916EAA"/>
    <w:rsid w:val="7DDAD1B1"/>
    <w:rsid w:val="7ECF1CCB"/>
    <w:rsid w:val="7F4443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18EDA"/>
  <w15:chartTrackingRefBased/>
  <w15:docId w15:val="{EF1CFD00-2289-4257-94C0-6A91DC47E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7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7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71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71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71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71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71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71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71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6DAD5ECA"/>
    <w:rPr>
      <w:rFonts w:asciiTheme="majorHAnsi" w:eastAsiaTheme="majorEastAsia" w:hAnsiTheme="majorHAnsi" w:cstheme="majorBidi"/>
      <w:color w:val="0F4761" w:themeColor="accent1" w:themeShade="BF"/>
      <w:sz w:val="40"/>
      <w:szCs w:val="40"/>
    </w:rPr>
  </w:style>
  <w:style w:type="character" w:customStyle="1" w:styleId="Ttulo2Car">
    <w:name w:val="Título 2 Car"/>
    <w:link w:val="Ttulo2"/>
    <w:uiPriority w:val="9"/>
    <w:semiHidden/>
    <w:rsid w:val="6DAD5ECA"/>
    <w:rPr>
      <w:rFonts w:asciiTheme="majorHAnsi" w:eastAsiaTheme="majorEastAsia" w:hAnsiTheme="majorHAnsi" w:cstheme="majorBidi"/>
      <w:color w:val="0F4761" w:themeColor="accent1" w:themeShade="BF"/>
      <w:sz w:val="32"/>
      <w:szCs w:val="32"/>
    </w:rPr>
  </w:style>
  <w:style w:type="character" w:customStyle="1" w:styleId="Ttulo3Car">
    <w:name w:val="Título 3 Car"/>
    <w:link w:val="Ttulo3"/>
    <w:uiPriority w:val="9"/>
    <w:semiHidden/>
    <w:rsid w:val="6DAD5ECA"/>
    <w:rPr>
      <w:rFonts w:eastAsiaTheme="majorEastAsia" w:cstheme="majorBidi"/>
      <w:color w:val="0F4761" w:themeColor="accent1" w:themeShade="BF"/>
      <w:sz w:val="28"/>
      <w:szCs w:val="28"/>
    </w:rPr>
  </w:style>
  <w:style w:type="character" w:customStyle="1" w:styleId="Ttulo4Car">
    <w:name w:val="Título 4 Car"/>
    <w:link w:val="Ttulo4"/>
    <w:uiPriority w:val="9"/>
    <w:semiHidden/>
    <w:rsid w:val="6DAD5ECA"/>
    <w:rPr>
      <w:rFonts w:eastAsiaTheme="majorEastAsia" w:cstheme="majorBidi"/>
      <w:i/>
      <w:iCs/>
      <w:color w:val="0F4761" w:themeColor="accent1" w:themeShade="BF"/>
    </w:rPr>
  </w:style>
  <w:style w:type="character" w:customStyle="1" w:styleId="Ttulo5Car">
    <w:name w:val="Título 5 Car"/>
    <w:link w:val="Ttulo5"/>
    <w:uiPriority w:val="9"/>
    <w:semiHidden/>
    <w:rsid w:val="6DAD5ECA"/>
    <w:rPr>
      <w:rFonts w:eastAsiaTheme="majorEastAsia" w:cstheme="majorBidi"/>
      <w:color w:val="0F4761" w:themeColor="accent1" w:themeShade="BF"/>
    </w:rPr>
  </w:style>
  <w:style w:type="character" w:customStyle="1" w:styleId="Ttulo6Car">
    <w:name w:val="Título 6 Car"/>
    <w:link w:val="Ttulo6"/>
    <w:uiPriority w:val="9"/>
    <w:semiHidden/>
    <w:rsid w:val="6DAD5ECA"/>
    <w:rPr>
      <w:rFonts w:eastAsiaTheme="majorEastAsia" w:cstheme="majorBidi"/>
      <w:i/>
      <w:iCs/>
      <w:color w:val="595959" w:themeColor="text1" w:themeTint="A6"/>
    </w:rPr>
  </w:style>
  <w:style w:type="character" w:customStyle="1" w:styleId="Ttulo7Car">
    <w:name w:val="Título 7 Car"/>
    <w:link w:val="Ttulo7"/>
    <w:uiPriority w:val="9"/>
    <w:semiHidden/>
    <w:rsid w:val="6DAD5ECA"/>
    <w:rPr>
      <w:rFonts w:eastAsiaTheme="majorEastAsia" w:cstheme="majorBidi"/>
      <w:color w:val="595959" w:themeColor="text1" w:themeTint="A6"/>
    </w:rPr>
  </w:style>
  <w:style w:type="character" w:customStyle="1" w:styleId="Ttulo8Car">
    <w:name w:val="Título 8 Car"/>
    <w:link w:val="Ttulo8"/>
    <w:uiPriority w:val="9"/>
    <w:semiHidden/>
    <w:rsid w:val="6DAD5ECA"/>
    <w:rPr>
      <w:rFonts w:eastAsiaTheme="majorEastAsia" w:cstheme="majorBidi"/>
      <w:i/>
      <w:iCs/>
      <w:color w:val="272727"/>
    </w:rPr>
  </w:style>
  <w:style w:type="character" w:customStyle="1" w:styleId="Ttulo9Car">
    <w:name w:val="Título 9 Car"/>
    <w:link w:val="Ttulo9"/>
    <w:uiPriority w:val="9"/>
    <w:semiHidden/>
    <w:rsid w:val="6DAD5ECA"/>
    <w:rPr>
      <w:rFonts w:eastAsiaTheme="majorEastAsia" w:cstheme="majorBidi"/>
      <w:color w:val="272727"/>
    </w:rPr>
  </w:style>
  <w:style w:type="paragraph" w:styleId="Ttulo">
    <w:name w:val="Title"/>
    <w:basedOn w:val="Normal"/>
    <w:next w:val="Normal"/>
    <w:link w:val="TtuloCar"/>
    <w:uiPriority w:val="10"/>
    <w:qFormat/>
    <w:rsid w:val="00317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link w:val="Ttulo"/>
    <w:uiPriority w:val="10"/>
    <w:rsid w:val="6DAD5ECA"/>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003171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link w:val="Subttulo"/>
    <w:uiPriority w:val="11"/>
    <w:rsid w:val="6DAD5ECA"/>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31710B"/>
    <w:pPr>
      <w:spacing w:before="160"/>
      <w:jc w:val="center"/>
    </w:pPr>
    <w:rPr>
      <w:i/>
      <w:iCs/>
      <w:color w:val="404040" w:themeColor="text1" w:themeTint="BF"/>
    </w:rPr>
  </w:style>
  <w:style w:type="character" w:customStyle="1" w:styleId="CitaCar">
    <w:name w:val="Cita Car"/>
    <w:link w:val="Cita"/>
    <w:uiPriority w:val="29"/>
    <w:rsid w:val="6DAD5ECA"/>
    <w:rPr>
      <w:i/>
      <w:iCs/>
      <w:color w:val="404040" w:themeColor="text1" w:themeTint="BF"/>
    </w:rPr>
  </w:style>
  <w:style w:type="paragraph" w:styleId="Prrafodelista">
    <w:name w:val="List Paragraph"/>
    <w:basedOn w:val="Normal"/>
    <w:uiPriority w:val="34"/>
    <w:qFormat/>
    <w:rsid w:val="0031710B"/>
    <w:pPr>
      <w:ind w:left="720"/>
      <w:contextualSpacing/>
    </w:pPr>
  </w:style>
  <w:style w:type="character" w:styleId="nfasisintenso">
    <w:name w:val="Intense Emphasis"/>
    <w:uiPriority w:val="21"/>
    <w:qFormat/>
    <w:rsid w:val="6DAD5ECA"/>
    <w:rPr>
      <w:i/>
      <w:iCs/>
      <w:color w:val="0F4761" w:themeColor="accent1" w:themeShade="BF"/>
    </w:rPr>
  </w:style>
  <w:style w:type="paragraph" w:styleId="Citadestacada">
    <w:name w:val="Intense Quote"/>
    <w:basedOn w:val="Normal"/>
    <w:next w:val="Normal"/>
    <w:link w:val="CitadestacadaCar"/>
    <w:uiPriority w:val="30"/>
    <w:qFormat/>
    <w:rsid w:val="00317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link w:val="Citadestacada"/>
    <w:uiPriority w:val="30"/>
    <w:rsid w:val="6DAD5ECA"/>
    <w:rPr>
      <w:i/>
      <w:iCs/>
      <w:color w:val="0F4761" w:themeColor="accent1" w:themeShade="BF"/>
    </w:rPr>
  </w:style>
  <w:style w:type="character" w:styleId="Referenciaintensa">
    <w:name w:val="Intense Reference"/>
    <w:uiPriority w:val="32"/>
    <w:qFormat/>
    <w:rsid w:val="6DAD5ECA"/>
    <w:rPr>
      <w:b/>
      <w:bCs/>
      <w:smallCaps/>
      <w:color w:val="0F4761" w:themeColor="accent1" w:themeShade="BF"/>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independiente">
    <w:name w:val="Body Text"/>
    <w:basedOn w:val="Normal"/>
    <w:uiPriority w:val="99"/>
    <w:unhideWhenUsed/>
    <w:rsid w:val="0715A45A"/>
    <w:pPr>
      <w:spacing w:after="120"/>
    </w:pPr>
  </w:style>
  <w:style w:type="character" w:styleId="Hipervnculo">
    <w:name w:val="Hyperlink"/>
    <w:uiPriority w:val="99"/>
    <w:unhideWhenUsed/>
    <w:rsid w:val="6DAD5ECA"/>
    <w:rPr>
      <w:color w:val="467886"/>
      <w:u w:val="single"/>
    </w:rPr>
  </w:style>
  <w:style w:type="paragraph" w:styleId="Textonotaalfinal">
    <w:name w:val="endnote text"/>
    <w:basedOn w:val="Normal"/>
    <w:uiPriority w:val="99"/>
    <w:semiHidden/>
    <w:unhideWhenUsed/>
    <w:rsid w:val="6DAD5ECA"/>
    <w:pPr>
      <w:spacing w:after="0" w:line="240" w:lineRule="auto"/>
    </w:pPr>
    <w:rPr>
      <w:sz w:val="20"/>
      <w:szCs w:val="20"/>
    </w:rPr>
  </w:style>
  <w:style w:type="character" w:styleId="Refdenotaalfinal">
    <w:name w:val="endnote reference"/>
    <w:uiPriority w:val="99"/>
    <w:semiHidden/>
    <w:unhideWhenUsed/>
    <w:rsid w:val="6DAD5ECA"/>
    <w:rPr>
      <w:vertAlign w:val="superscript"/>
    </w:rPr>
  </w:style>
  <w:style w:type="paragraph" w:styleId="Textonotapie">
    <w:name w:val="footnote text"/>
    <w:basedOn w:val="Normal"/>
    <w:uiPriority w:val="99"/>
    <w:semiHidden/>
    <w:unhideWhenUsed/>
    <w:rsid w:val="6DAD5ECA"/>
    <w:pPr>
      <w:spacing w:after="0" w:line="240" w:lineRule="auto"/>
    </w:pPr>
    <w:rPr>
      <w:sz w:val="20"/>
      <w:szCs w:val="20"/>
    </w:rPr>
  </w:style>
  <w:style w:type="character" w:styleId="Refdenotaalpie">
    <w:name w:val="footnote reference"/>
    <w:uiPriority w:val="99"/>
    <w:semiHidden/>
    <w:unhideWhenUsed/>
    <w:rsid w:val="6DAD5ECA"/>
    <w:rPr>
      <w:vertAlign w:val="superscript"/>
    </w:rPr>
  </w:style>
  <w:style w:type="paragraph" w:styleId="Encabezado">
    <w:name w:val="header"/>
    <w:basedOn w:val="Normal"/>
    <w:link w:val="EncabezadoCar"/>
    <w:uiPriority w:val="99"/>
    <w:unhideWhenUsed/>
    <w:rsid w:val="6DAD5ECA"/>
    <w:pPr>
      <w:tabs>
        <w:tab w:val="center" w:pos="4680"/>
        <w:tab w:val="right" w:pos="9360"/>
      </w:tabs>
      <w:spacing w:after="0" w:line="240" w:lineRule="auto"/>
    </w:pPr>
  </w:style>
  <w:style w:type="paragraph" w:styleId="Piedepgina">
    <w:name w:val="footer"/>
    <w:basedOn w:val="Normal"/>
    <w:uiPriority w:val="99"/>
    <w:unhideWhenUsed/>
    <w:rsid w:val="6DAD5ECA"/>
    <w:pPr>
      <w:tabs>
        <w:tab w:val="center" w:pos="4680"/>
        <w:tab w:val="right" w:pos="9360"/>
      </w:tabs>
      <w:spacing w:after="0" w:line="240" w:lineRule="auto"/>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EncabezadoCar">
    <w:name w:val="Encabezado Car"/>
    <w:basedOn w:val="Fuentedeprrafopredeter"/>
    <w:link w:val="Encabezado"/>
    <w:uiPriority w:val="99"/>
    <w:rsid w:val="00893642"/>
  </w:style>
  <w:style w:type="paragraph" w:styleId="Lista3">
    <w:name w:val="List 3"/>
    <w:basedOn w:val="Normal"/>
    <w:uiPriority w:val="99"/>
    <w:unhideWhenUsed/>
    <w:rsid w:val="006D5D2E"/>
    <w:pPr>
      <w:spacing w:after="200" w:line="252" w:lineRule="auto"/>
      <w:ind w:left="1080" w:hanging="360"/>
      <w:contextualSpacing/>
    </w:pPr>
    <w:rPr>
      <w:rFonts w:ascii="Arial" w:eastAsiaTheme="minorEastAsia" w:hAnsi="Arial"/>
      <w:color w:val="4A4A4A"/>
      <w:kern w:val="0"/>
      <w:sz w:val="19"/>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minciencias.gov.co/viceministerios/conocimiento/direccion_transferencia/beneficios-tributarios/tipologia-proyecto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1736</Words>
  <Characters>9548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Liliana Silva Franco</dc:creator>
  <cp:keywords/>
  <dc:description/>
  <cp:lastModifiedBy>Angelica Liliana Silva Franco</cp:lastModifiedBy>
  <cp:revision>3</cp:revision>
  <dcterms:created xsi:type="dcterms:W3CDTF">2026-08-24T16:16:00Z</dcterms:created>
  <dcterms:modified xsi:type="dcterms:W3CDTF">2026-08-24T16:17:00Z</dcterms:modified>
</cp:coreProperties>
</file>