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Programme Lys 2027 : la coordination est assurée par Nora Perrin.</w:t>
      </w:r>
    </w:p>
    <w:p>
      <w:r>
        <w:t>Les équipes du projet Lys comportent quatre personnes au maximum.</w:t>
      </w:r>
    </w:p>
    <w:p>
      <w:r>
        <w:t>Le projet Lys doit être remis le 23 avril 2027. Le dossier contient un rapport de huit pages maximum et une affiche au format PDF.</w:t>
      </w:r>
    </w:p>
    <w:p>
      <w:r>
        <w:t>La politique Lys du 14 février 2027 conserve les fichiers pendant 65 jours après la remise. Elle remplace la politique Lys 2026.</w:t>
      </w:r>
    </w:p>
  </w:body>
</w:document>
</file>