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Internet address: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msib.psuti.ru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IP address: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94.25.37.28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№ of TCPs: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Причина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 видно на скриншоте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EX.1_Screenshot)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 попытке открыть сайт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msib.psuti.ru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появилось 3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TCP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-соединения, в окнах с подробными данными видно, что для каждого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TCP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-соединения в качестве порта получателя указан 80й порт, однако в портах отправителя можно заметить, что порты для каждого соединения отличаются (пакет 31223 -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source port: 64321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пакет 31225 -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source port: 6432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пакет 31226 -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source port: 6432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 Таким образом, можно предположить, что было невозможно отправить всю необходимую информацию одним пакетом, так как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MSS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такого пакета превышал бы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MTU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и, таким образом, передача информации происходит параллельно из трех разных портов источника одному порту получателя.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