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10</w:t>
      </w:r>
    </w:p>
    <w:p>
      <w:pPr>
        <w:pStyle w:val="Subtitle"/>
      </w:pPr>
      <w:r>
        <w:t xml:space="preserve">Настройка списков управления доступом (ACL)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2026-04-18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Освоить настройку прав доступа пользователей к ресурсам сети.</w:t>
      </w:r>
    </w:p>
    <w:bookmarkEnd w:id="22"/>
    <w:bookmarkEnd w:id="23"/>
    <w:bookmarkStart w:id="92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2229625"/>
            <wp:effectExtent b="0" l="0" r="0" t="0"/>
            <wp:docPr descr="Размещение ноутбука администратора с именем admin-dasedokhin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ноутбука администратора с именем admin-dasedokhin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2316480"/>
            <wp:effectExtent b="0" l="0" r="0" t="0"/>
            <wp:docPr descr="Настройка доступа к web-серверу по порту tcp 80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web-серверу по порту tcp 80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1582699"/>
            <wp:effectExtent b="0" l="0" r="0" t="0"/>
            <wp:docPr descr="Добавление списка управления доступом к интерфейсу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списка управления доступом к интерфейсу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1750099"/>
            <wp:effectExtent b="0" l="0" r="0" t="0"/>
            <wp:docPr descr="Дополнительный доступ для администратора по протоколам Telnet и FTP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доступ для администратора по протоколам Telnet и FTP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4273261"/>
            <wp:effectExtent b="0" l="0" r="0" t="0"/>
            <wp:docPr descr="Проверка доступа по протоколу FTP с ноутбука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3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по протоколу FTP с ноутбука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2311144"/>
            <wp:effectExtent b="0" l="0" r="0" t="0"/>
            <wp:docPr descr="Проверка подключения с другого устройства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другого устройства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3067820"/>
            <wp:effectExtent b="0" l="0" r="0" t="0"/>
            <wp:docPr descr="Настройка доступа к файловому серверу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файловому серверу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5334000" cy="2067974"/>
            <wp:effectExtent b="0" l="0" r="0" t="0"/>
            <wp:docPr descr="Проверка выделенных адресов оконечным устройствам и доступность устройств из разных подсетей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выделенных адресов оконечным устройствам и доступность устройств из разных подсетей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1823982"/>
            <wp:effectExtent b="0" l="0" r="0" t="0"/>
            <wp:docPr descr="Настройка доступа к почтовому серверу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почтовому серверу</w:t>
      </w:r>
    </w:p>
    <w:bookmarkEnd w:id="59"/>
    <w:bookmarkStart w:id="63" w:name="слайд-10"/>
    <w:p>
      <w:pPr>
        <w:pStyle w:val="Heading2"/>
      </w:pPr>
      <w:r>
        <w:t xml:space="preserve">3.10 слайд 10</w:t>
      </w:r>
    </w:p>
    <w:p>
      <w:pPr>
        <w:pStyle w:val="CaptionedFigure"/>
      </w:pPr>
      <w:r>
        <w:drawing>
          <wp:inline>
            <wp:extent cx="5334000" cy="6835366"/>
            <wp:effectExtent b="0" l="0" r="0" t="0"/>
            <wp:docPr descr="Настройка доступа к DNS-серверу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DNS-серверу</w:t>
      </w:r>
    </w:p>
    <w:bookmarkEnd w:id="63"/>
    <w:bookmarkStart w:id="67" w:name="слайд-11"/>
    <w:p>
      <w:pPr>
        <w:pStyle w:val="Heading2"/>
      </w:pPr>
      <w:r>
        <w:t xml:space="preserve">3.11 слайд 11</w:t>
      </w:r>
    </w:p>
    <w:p>
      <w:pPr>
        <w:pStyle w:val="CaptionedFigure"/>
      </w:pPr>
      <w:r>
        <w:drawing>
          <wp:inline>
            <wp:extent cx="5334000" cy="3417093"/>
            <wp:effectExtent b="0" l="0" r="0" t="0"/>
            <wp:docPr descr="Разрешение icmp-запросов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icmp-запросов</w:t>
      </w:r>
    </w:p>
    <w:bookmarkEnd w:id="67"/>
    <w:bookmarkStart w:id="71" w:name="слайд-12"/>
    <w:p>
      <w:pPr>
        <w:pStyle w:val="Heading2"/>
      </w:pPr>
      <w:r>
        <w:t xml:space="preserve">3.12 слайд 12</w:t>
      </w:r>
    </w:p>
    <w:p>
      <w:pPr>
        <w:pStyle w:val="CaptionedFigure"/>
      </w:pPr>
      <w:r>
        <w:drawing>
          <wp:inline>
            <wp:extent cx="5334000" cy="2177922"/>
            <wp:effectExtent b="0" l="0" r="0" t="0"/>
            <wp:docPr descr="Настройка доступа для сети Other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для сети Other</w:t>
      </w:r>
    </w:p>
    <w:bookmarkEnd w:id="71"/>
    <w:bookmarkStart w:id="75" w:name="слайд-13"/>
    <w:p>
      <w:pPr>
        <w:pStyle w:val="Heading2"/>
      </w:pPr>
      <w:r>
        <w:t xml:space="preserve">3.13 слайд 13</w:t>
      </w:r>
    </w:p>
    <w:p>
      <w:pPr>
        <w:pStyle w:val="CaptionedFigure"/>
      </w:pPr>
      <w:r>
        <w:drawing>
          <wp:inline>
            <wp:extent cx="5334000" cy="2394543"/>
            <wp:effectExtent b="0" l="0" r="0" t="0"/>
            <wp:docPr descr="Настройка доступа администратора к сети сетевого оборудования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администратора к сети сетевого оборудования</w:t>
      </w:r>
    </w:p>
    <w:bookmarkEnd w:id="75"/>
    <w:bookmarkStart w:id="79" w:name="слайд-14"/>
    <w:p>
      <w:pPr>
        <w:pStyle w:val="Heading2"/>
      </w:pPr>
      <w:r>
        <w:t xml:space="preserve">3.14 слайд 14</w:t>
      </w:r>
    </w:p>
    <w:p>
      <w:pPr>
        <w:pStyle w:val="CaptionedFigure"/>
      </w:pPr>
      <w:r>
        <w:drawing>
          <wp:inline>
            <wp:extent cx="5334000" cy="8091607"/>
            <wp:effectExtent b="0" l="0" r="0" t="0"/>
            <wp:docPr descr="Проверка корректности установленных правил доступа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корректности установленных правил доступа</w:t>
      </w:r>
    </w:p>
    <w:bookmarkEnd w:id="79"/>
    <w:bookmarkStart w:id="83" w:name="слайд-15"/>
    <w:p>
      <w:pPr>
        <w:pStyle w:val="Heading2"/>
      </w:pPr>
      <w:r>
        <w:t xml:space="preserve">3.15 слайд 15</w:t>
      </w:r>
    </w:p>
    <w:p>
      <w:pPr>
        <w:pStyle w:val="CaptionedFigure"/>
      </w:pPr>
      <w:r>
        <w:drawing>
          <wp:inline>
            <wp:extent cx="5334000" cy="1772589"/>
            <wp:effectExtent b="0" l="0" r="0" t="0"/>
            <wp:docPr descr="Подключение ноутбука для Павловской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ноутбука для Павловской</w:t>
      </w:r>
    </w:p>
    <w:bookmarkEnd w:id="83"/>
    <w:bookmarkStart w:id="87" w:name="слайд-16"/>
    <w:p>
      <w:pPr>
        <w:pStyle w:val="Heading2"/>
      </w:pPr>
      <w:r>
        <w:t xml:space="preserve">3.16 слайд 16</w:t>
      </w:r>
    </w:p>
    <w:p>
      <w:pPr>
        <w:pStyle w:val="CaptionedFigure"/>
      </w:pPr>
      <w:r>
        <w:drawing>
          <wp:inline>
            <wp:extent cx="5334000" cy="2995246"/>
            <wp:effectExtent b="0" l="0" r="0" t="0"/>
            <wp:docPr descr="Проверка подключения ноутбука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ноутбука</w:t>
      </w:r>
    </w:p>
    <w:bookmarkEnd w:id="87"/>
    <w:bookmarkStart w:id="91" w:name="слайд-17"/>
    <w:p>
      <w:pPr>
        <w:pStyle w:val="Heading2"/>
      </w:pPr>
      <w:r>
        <w:t xml:space="preserve">3.17 слайд 17</w:t>
      </w:r>
    </w:p>
    <w:p>
      <w:pPr>
        <w:pStyle w:val="CaptionedFigure"/>
      </w:pPr>
      <w:r>
        <w:drawing>
          <wp:inline>
            <wp:extent cx="5334000" cy="4473427"/>
            <wp:effectExtent b="0" l="0" r="0" t="0"/>
            <wp:docPr descr="Подключение ноутбука для Павловской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ноутбука для Павловской</w:t>
      </w:r>
    </w:p>
    <w:bookmarkEnd w:id="91"/>
    <w:bookmarkEnd w:id="92"/>
    <w:bookmarkStart w:id="94" w:name="выводы"/>
    <w:p>
      <w:pPr>
        <w:pStyle w:val="Heading1"/>
      </w:pPr>
      <w:r>
        <w:t xml:space="preserve">4. Выводы</w:t>
      </w:r>
    </w:p>
    <w:bookmarkStart w:id="93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освоил настройку прав доступа пользователей к ресурсам сети.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10</dc:title>
  <dc:creator>Седохин Даниил Алексеевич</dc:creator>
  <dc:language>ru-RU</dc:language>
  <cp:keywords/>
  <dcterms:created xsi:type="dcterms:W3CDTF">2026-04-18T20:26:21Z</dcterms:created>
  <dcterms:modified xsi:type="dcterms:W3CDTF">2026-04-18T20:26:21Z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списков управления доступом (ACL)</vt:lpwstr>
  </property>
  <property fmtid="{D5CDD505-2E9C-101B-9397-08002B2CF9AE}" pid="18" name="toc-title">
    <vt:lpwstr>Содержание</vt:lpwstr>
  </property>
</Properties>
</file>