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7</w:t>
      </w:r>
    </w:p>
    <w:p>
      <w:pPr>
        <w:pStyle w:val="Subtitle"/>
      </w:pPr>
      <w:r>
        <w:t xml:space="preserve">Учёт физических параметров сети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2026-03-28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2"/>
    <w:bookmarkEnd w:id="23"/>
    <w:bookmarkStart w:id="72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504045"/>
            <wp:effectExtent b="0" l="0" r="0" t="0"/>
            <wp:docPr descr="Проект предыдущей лабораторной работы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Проект предыдущей лабораторной работы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3467100" cy="3721100"/>
            <wp:effectExtent b="0" l="0" r="0" t="0"/>
            <wp:docPr descr="Назначение названия города, здания и перемещение здания Pavlovskaya-dasedokhin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72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названия города, здания и перемещение здания Pavlovskaya-dasedokhin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4072626"/>
            <wp:effectExtent b="0" l="0" r="0" t="0"/>
            <wp:docPr descr="Размещений серверной с подключением окнечных устройст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Размещений серверной с подключением окнечных устройств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3039268"/>
            <wp:effectExtent b="0" l="0" r="0" t="0"/>
            <wp:docPr descr="Перемещение коммутатора pavlovskaya и двух оконечных устройств на территорию pavlovskaya-dasedokhin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коммутатора pavlovskaya и двух оконечных устройств на территорию pavlovskaya-dasedokhin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2511012"/>
            <wp:effectExtent b="0" l="0" r="0" t="0"/>
            <wp:docPr descr="Пинг с коммутатора msk-donskaya-dasedokhin-sw-1 коммутатор msk-pavlovskaya-dasedokhin-sw-1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 коммутатора msk-donskaya-dasedokhin-sw-1 коммутатор msk-pavlovskaya-dasedokhin-sw-1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2447041"/>
            <wp:effectExtent b="0" l="0" r="0" t="0"/>
            <wp:docPr descr="Активация разрешения на учет физических характеристик среды передачи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разрешения на учет физических характеристик среды передачи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2521933"/>
            <wp:effectExtent b="0" l="0" r="0" t="0"/>
            <wp:docPr descr="Размещение двух территорий на расстоянии около 1000м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двух территорий на расстоянии около 1000м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5334000" cy="2613660"/>
            <wp:effectExtent b="0" l="0" r="0" t="0"/>
            <wp:docPr descr="Повторный пинг, убедились в неработоспособности соединения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пинг, убедились в неработоспособности соединения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4088589"/>
            <wp:effectExtent b="0" l="0" r="0" t="0"/>
            <wp:docPr descr="Размещение двух повторителей и замена модулей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двух повторителей и замена модулей</w:t>
      </w:r>
    </w:p>
    <w:bookmarkEnd w:id="59"/>
    <w:bookmarkStart w:id="63" w:name="слайд-10"/>
    <w:p>
      <w:pPr>
        <w:pStyle w:val="Heading2"/>
      </w:pPr>
      <w:r>
        <w:t xml:space="preserve">3.10 слайд 10</w:t>
      </w:r>
    </w:p>
    <w:p>
      <w:pPr>
        <w:pStyle w:val="CaptionedFigure"/>
      </w:pPr>
      <w:r>
        <w:drawing>
          <wp:inline>
            <wp:extent cx="5334000" cy="2451205"/>
            <wp:effectExtent b="0" l="0" r="0" t="0"/>
            <wp:docPr descr="Перемещение повторителя msk-pavlovskaya-dasedokhin-mc-1 на территории Pavlovskaya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повторителя msk-pavlovskaya-dasedokhin-mc-1 на территории Pavlovskaya</w:t>
      </w:r>
    </w:p>
    <w:bookmarkEnd w:id="63"/>
    <w:bookmarkStart w:id="67" w:name="слайд-11"/>
    <w:p>
      <w:pPr>
        <w:pStyle w:val="Heading2"/>
      </w:pPr>
      <w:r>
        <w:t xml:space="preserve">3.11 слайд 11</w:t>
      </w:r>
    </w:p>
    <w:p>
      <w:pPr>
        <w:pStyle w:val="CaptionedFigure"/>
      </w:pPr>
      <w:r>
        <w:drawing>
          <wp:inline>
            <wp:extent cx="5334000" cy="3113458"/>
            <wp:effectExtent b="0" l="0" r="0" t="0"/>
            <wp:docPr descr="Подключение коммутаторов по витой паре и повторителей по оптоволокну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коммутаторов по витой паре и повторителей по оптоволокну</w:t>
      </w:r>
    </w:p>
    <w:bookmarkEnd w:id="67"/>
    <w:bookmarkStart w:id="71" w:name="слайд-12"/>
    <w:p>
      <w:pPr>
        <w:pStyle w:val="Heading2"/>
      </w:pPr>
      <w:r>
        <w:t xml:space="preserve">3.12 слайд 12</w:t>
      </w:r>
    </w:p>
    <w:p>
      <w:pPr>
        <w:pStyle w:val="CaptionedFigure"/>
      </w:pPr>
      <w:r>
        <w:drawing>
          <wp:inline>
            <wp:extent cx="5334000" cy="3053466"/>
            <wp:effectExtent b="0" l="0" r="0" t="0"/>
            <wp:docPr descr="Убеждение в работоспособности соединения между msk-donskaya-sw-1 и msk-pavlovskaya-sw-1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Убеждение в работоспособности соединения между msk-donskaya-sw-1 и msk-pavlovskaya-sw-1</w:t>
      </w:r>
    </w:p>
    <w:bookmarkEnd w:id="71"/>
    <w:bookmarkEnd w:id="72"/>
    <w:bookmarkStart w:id="74" w:name="выводы"/>
    <w:p>
      <w:pPr>
        <w:pStyle w:val="Heading1"/>
      </w:pPr>
      <w:r>
        <w:t xml:space="preserve">4. Выводы</w:t>
      </w:r>
    </w:p>
    <w:bookmarkStart w:id="73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получиЛ навыки работы с физической рабочей областью Packet Tracer,</w:t>
      </w:r>
      <w:r>
        <w:t xml:space="preserve"> </w:t>
      </w:r>
      <w:r>
        <w:t xml:space="preserve">а также учёл физические параметры сети.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7</dc:title>
  <dc:creator>Седохин Даниил Алексеевич</dc:creator>
  <dc:language>ru-RU</dc:language>
  <cp:keywords/>
  <dcterms:created xsi:type="dcterms:W3CDTF">2026-03-28T19:54:47Z</dcterms:created>
  <dcterms:modified xsi:type="dcterms:W3CDTF">2026-03-28T19:54:47Z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Учёт физических параметров сети</vt:lpwstr>
  </property>
  <property fmtid="{D5CDD505-2E9C-101B-9397-08002B2CF9AE}" pid="18" name="toc-title">
    <vt:lpwstr>Содержание</vt:lpwstr>
  </property>
</Properties>
</file>