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7</w:t>
      </w:r>
    </w:p>
    <w:p>
      <w:pPr>
        <w:pStyle w:val="Subtitle"/>
      </w:pPr>
      <w:r>
        <w:t xml:space="preserve">Учёт физических параметров сети</w:t>
      </w:r>
    </w:p>
    <w:p>
      <w:pPr>
        <w:pStyle w:val="Author"/>
      </w:pPr>
      <w:r>
        <w:t xml:space="preserve">Седохин Даниил Алексеевич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навыки работы с физической рабочей областью Packet Tracer, а также учесть физические параметры сети.</w:t>
      </w:r>
    </w:p>
    <w:bookmarkEnd w:id="20"/>
    <w:bookmarkStart w:id="69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Откройте проект предыдущей лабораторной работы</w:t>
      </w:r>
      <w:r>
        <w:t xml:space="preserve"> </w:t>
      </w:r>
      <w:r>
        <w:t xml:space="preserve">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245283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528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Проект предыдущей лабораторной работы</w:t>
            </w:r>
          </w:p>
          <w:bookmarkEnd w:id="24"/>
        </w:tc>
      </w:tr>
    </w:tbl>
    <w:p>
      <w:pPr>
        <w:pStyle w:val="BodyText"/>
      </w:pPr>
      <w:r>
        <w:t xml:space="preserve">Перейдите в физическую рабочую область Packet Tracer. Присвойте название городу — Moscow</w:t>
      </w:r>
      <w:r>
        <w:t xml:space="preserve"> </w:t>
      </w:r>
      <w:r>
        <w:t xml:space="preserve">Присвойте ему название Donskaya. Добавьте здание для территории</w:t>
      </w:r>
      <w:r>
        <w:t xml:space="preserve"> </w:t>
      </w:r>
      <w:r>
        <w:t xml:space="preserve">Pavlovskaya.</w:t>
      </w:r>
      <w:r>
        <w:t xml:space="preserve"> </w:t>
      </w:r>
      <w:r>
        <w:t xml:space="preserve">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467100" cy="37211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3721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Назначение названия города, здания и перемещение здания Pavlovskaya-dasedokhin</w:t>
            </w:r>
          </w:p>
          <w:bookmarkEnd w:id="28"/>
        </w:tc>
      </w:tr>
    </w:tbl>
    <w:p>
      <w:pPr>
        <w:pStyle w:val="BodyText"/>
      </w:pPr>
      <w:r>
        <w:t xml:space="preserve">Щёлкнув на изображении здания Donskaya, переместите изображение, обозначающее серверное помещение, в него.</w:t>
      </w:r>
      <w:r>
        <w:t xml:space="preserve"> </w:t>
      </w:r>
      <w:r>
        <w:t xml:space="preserve">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2850838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508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Размещений серверной с подключением окнечных устройств</w:t>
            </w:r>
          </w:p>
          <w:bookmarkEnd w:id="32"/>
        </w:tc>
      </w:tr>
    </w:tbl>
    <w:p>
      <w:pPr>
        <w:pStyle w:val="BodyText"/>
      </w:pPr>
      <w:r>
        <w:t xml:space="preserve">Переместите коммутатор msk-pavlovskaya-sw-1 и два оконечных устройства dk-pavlovskaya-1 и other-pavlovskaya-1 на территорию Pavlovskaya,</w:t>
      </w:r>
      <w:r>
        <w:t xml:space="preserve"> </w:t>
      </w:r>
      <w:r>
        <w:t xml:space="preserve">используя меню Move физической рабочей области Packet Tracer.</w:t>
      </w:r>
      <w:r>
        <w:t xml:space="preserve"> </w:t>
      </w:r>
      <w:r>
        <w:t xml:space="preserve">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2127488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274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Перемещение коммутатора pavlovskaya и двух оконечных устройств на территорию pavlovskaya-dasedokhin</w:t>
            </w:r>
          </w:p>
          <w:bookmarkEnd w:id="36"/>
        </w:tc>
      </w:tr>
    </w:tbl>
    <w:p>
      <w:pPr>
        <w:pStyle w:val="BodyText"/>
      </w:pPr>
      <w:r>
        <w:t xml:space="preserve">Вернувшись в логическую рабочую область Packet Tracer, пропингуйте с коммутатора msk-donskaya-sw-1 коммутатор msk-pavlovskaya-sw-1.</w:t>
      </w:r>
      <w:r>
        <w:t xml:space="preserve"> </w:t>
      </w:r>
      <w:r>
        <w:t xml:space="preserve">Убедитесь в работоспособности соединения</w:t>
      </w:r>
      <w:r>
        <w:t xml:space="preserve"> </w:t>
      </w:r>
      <w:r>
        <w:t xml:space="preserve">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1757708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577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Пинг с коммутатора msk-donskaya-dasedokhin-sw-1 коммутатор msk-pavlovskaya-dasedokhin-sw-1</w:t>
            </w:r>
          </w:p>
          <w:bookmarkEnd w:id="40"/>
        </w:tc>
      </w:tr>
    </w:tbl>
    <w:p>
      <w:pPr>
        <w:pStyle w:val="BodyText"/>
      </w:pPr>
      <w:r>
        <w:t xml:space="preserve">В меню Options , Preferences во вкладке Interface активируйте разрешение</w:t>
      </w:r>
      <w:r>
        <w:t xml:space="preserve"> </w:t>
      </w:r>
      <w:r>
        <w:t xml:space="preserve">на учёт физических характеристик среды передачи (Enable Cable Length</w:t>
      </w:r>
      <w:r>
        <w:t xml:space="preserve"> </w:t>
      </w:r>
      <w:r>
        <w:t xml:space="preserve">Effects).</w:t>
      </w:r>
      <w:r>
        <w:t xml:space="preserve"> </w:t>
      </w:r>
      <w:r>
        <w:t xml:space="preserve">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1712928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129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Активация разрешения на учет физических характеристик среды передачи</w:t>
            </w:r>
          </w:p>
          <w:bookmarkEnd w:id="44"/>
        </w:tc>
      </w:tr>
    </w:tbl>
    <w:p>
      <w:pPr>
        <w:pStyle w:val="BodyText"/>
      </w:pPr>
      <w:r>
        <w:t xml:space="preserve">В физической рабочей области Packet Tracer разместите две территории на</w:t>
      </w:r>
      <w:r>
        <w:t xml:space="preserve"> </w:t>
      </w:r>
      <w:r>
        <w:t xml:space="preserve">расстоянии более 100 м друг от друга (рекомендуемое расстояние — около</w:t>
      </w:r>
      <w:r>
        <w:t xml:space="preserve"> </w:t>
      </w:r>
      <w:r>
        <w:t xml:space="preserve">1000 м или более).</w:t>
      </w:r>
      <w:r>
        <w:t xml:space="preserve"> </w:t>
      </w:r>
      <w:r>
        <w:t xml:space="preserve">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3733800" cy="1765353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653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Размещение двух территорий на расстоянии около 1000м</w:t>
            </w:r>
          </w:p>
          <w:bookmarkEnd w:id="48"/>
        </w:tc>
      </w:tr>
    </w:tbl>
    <w:p>
      <w:pPr>
        <w:pStyle w:val="BodyText"/>
      </w:pPr>
      <w:r>
        <w:t xml:space="preserve">Вернувшись в логическую рабочую область Packet Tracer, пропингуйте с коммутатора msk-donskaya-sw-1 коммутатор msk-pavlovskaya-sw-1.</w:t>
      </w:r>
      <w:r>
        <w:t xml:space="preserve"> </w:t>
      </w:r>
      <w:r>
        <w:t xml:space="preserve">Убедитесь в неработоспособности соединения.</w:t>
      </w:r>
      <w:r>
        <w:t xml:space="preserve"> </w:t>
      </w:r>
      <w:r>
        <w:t xml:space="preserve">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3733800" cy="1829562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295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Повторный пинг, убедились в неработоспособности соединения</w:t>
            </w:r>
          </w:p>
          <w:bookmarkEnd w:id="52"/>
        </w:tc>
      </w:tr>
    </w:tbl>
    <w:p>
      <w:pPr>
        <w:pStyle w:val="BodyText"/>
      </w:pPr>
      <w:r>
        <w:t xml:space="preserve">Удалите соединение между msk-donskaya-sw-1 и msk-pavlovskaya-sw-1.</w:t>
      </w:r>
      <w:r>
        <w:t xml:space="preserve"> </w:t>
      </w:r>
      <w:r>
        <w:t xml:space="preserve">Добавьте в логическую рабочую область два повторителя (RepeaterPT). Присвойте им соответствующие названия msk-donskaya-mc-1</w:t>
      </w:r>
      <w:r>
        <w:t xml:space="preserve"> </w:t>
      </w:r>
      <w:r>
        <w:t xml:space="preserve">и msk-pavlovskaya-mc-1. Замените имеющиеся модули на PT-REPEATERNM-1FFE и PT-REPEATER-NM-1CFE для подключения оптоволокна</w:t>
      </w:r>
      <w:r>
        <w:t xml:space="preserve"> </w:t>
      </w:r>
      <w:r>
        <w:t xml:space="preserve">и витой пары по технологии Fast Ethernet</w:t>
      </w:r>
      <w:r>
        <w:t xml:space="preserve"> </w:t>
      </w:r>
      <w:r>
        <w:t xml:space="preserve">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3733800" cy="2862012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620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Размещение двух повторителей и замена модулей</w:t>
            </w:r>
          </w:p>
          <w:bookmarkEnd w:id="56"/>
        </w:tc>
      </w:tr>
    </w:tbl>
    <w:p>
      <w:pPr>
        <w:pStyle w:val="BodyText"/>
      </w:pPr>
      <w:r>
        <w:t xml:space="preserve">Переместите msk-pavlovskaya-mc-1 на территорию Pavlovskaya (в физической рабочей области Packet Tracer).</w:t>
      </w:r>
      <w:r>
        <w:t xml:space="preserve"> </w:t>
      </w:r>
      <w:r>
        <w:t xml:space="preserve">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10"/>
          <w:p>
            <w:pPr>
              <w:pStyle w:val="Compact"/>
              <w:jc w:val="center"/>
            </w:pPr>
            <w:r>
              <w:drawing>
                <wp:inline>
                  <wp:extent cx="3733800" cy="1715843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158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Перемещение повторителя msk-pavlovskaya-dasedokhin-mc-1 на территории Pavlovskaya</w:t>
            </w:r>
          </w:p>
          <w:bookmarkEnd w:id="60"/>
        </w:tc>
      </w:tr>
    </w:tbl>
    <w:p>
      <w:pPr>
        <w:pStyle w:val="BodyText"/>
      </w:pPr>
      <w:r>
        <w:t xml:space="preserve">Подключите коммутатор msk-donskaya-sw-1 к msk-donskaya-mc-1 по витой паре, msk-donskaya-mc-1 и msk-pavlovskaya-mc-1 — по оптоволокну,</w:t>
      </w:r>
      <w:r>
        <w:t xml:space="preserve"> </w:t>
      </w:r>
      <w:r>
        <w:t xml:space="preserve">msk-pavlovskaya-sw-1 к msk-pavlovskaya-mc-1 — по витой паре</w:t>
      </w:r>
      <w:r>
        <w:t xml:space="preserve"> </w:t>
      </w:r>
      <w:r>
        <w:t xml:space="preserve">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1"/>
          <w:p>
            <w:pPr>
              <w:pStyle w:val="Compact"/>
              <w:jc w:val="center"/>
            </w:pPr>
            <w:r>
              <w:drawing>
                <wp:inline>
                  <wp:extent cx="3733800" cy="217942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794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Подключение коммутаторов по витой паре и повторителей по оптоволокну</w:t>
            </w:r>
          </w:p>
          <w:bookmarkEnd w:id="64"/>
        </w:tc>
      </w:tr>
    </w:tbl>
    <w:p>
      <w:pPr>
        <w:pStyle w:val="BodyText"/>
      </w:pPr>
      <w:r>
        <w:t xml:space="preserve">Убедитесь в работоспособности соединения между msk-donskaya-sw-1</w:t>
      </w:r>
      <w:r>
        <w:t xml:space="preserve"> </w:t>
      </w:r>
      <w:r>
        <w:t xml:space="preserve">и msk-pavlovskaya-sw-1.</w:t>
      </w:r>
      <w:r>
        <w:t xml:space="preserve"> </w:t>
      </w:r>
      <w:r>
        <w:t xml:space="preserve">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2"/>
          <w:p>
            <w:pPr>
              <w:pStyle w:val="Compact"/>
              <w:jc w:val="center"/>
            </w:pPr>
            <w:r>
              <w:drawing>
                <wp:inline>
                  <wp:extent cx="3733800" cy="2137426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374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Убеждение в работоспособности соединения между msk-donskaya-sw-1 и msk-pavlovskaya-sw-1.</w:t>
            </w:r>
          </w:p>
          <w:bookmarkEnd w:id="68"/>
        </w:tc>
      </w:tr>
    </w:tbl>
    <w:bookmarkEnd w:id="69"/>
    <w:bookmarkStart w:id="70" w:name="контрольные-вопросы"/>
    <w:p>
      <w:pPr>
        <w:pStyle w:val="Heading1"/>
      </w:pPr>
      <w:r>
        <w:t xml:space="preserve">3.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Перечислите возможные среды передачи данных. На какие характеристики среды передачи данных следует обращать внимание при планировании сети?</w:t>
      </w:r>
      <w:r>
        <w:t xml:space="preserve"> </w:t>
      </w:r>
      <w:r>
        <w:t xml:space="preserve">Возможные среды передачи данных:</w:t>
      </w:r>
    </w:p>
    <w:p>
      <w:pPr>
        <w:pStyle w:val="FirstParagraph"/>
      </w:pPr>
      <w:r>
        <w:t xml:space="preserve">Витая пара (Twisted Pair): неэкранированная (UTP) и экранированная (STP, FTP).</w:t>
      </w:r>
    </w:p>
    <w:p>
      <w:pPr>
        <w:pStyle w:val="BodyText"/>
      </w:pPr>
      <w:r>
        <w:t xml:space="preserve">Оптоволоконный кабель (Fiber Optic): одномодовое (SMF) и многомодовое (MMF) волокно.</w:t>
      </w:r>
    </w:p>
    <w:p>
      <w:pPr>
        <w:pStyle w:val="BodyText"/>
      </w:pPr>
      <w:r>
        <w:t xml:space="preserve">Коаксиальный кабель (Coaxial): в настоящее время в локальных сетях используется редко.</w:t>
      </w:r>
    </w:p>
    <w:p>
      <w:pPr>
        <w:pStyle w:val="BodyText"/>
      </w:pPr>
      <w:r>
        <w:t xml:space="preserve">Беспроводная среда (Wireless): радиоканалы стандартов Wi-Fi, Bluetooth, сотовая связь, спутниковая связь.</w:t>
      </w:r>
    </w:p>
    <w:p>
      <w:pPr>
        <w:pStyle w:val="BodyText"/>
      </w:pPr>
      <w:r>
        <w:t xml:space="preserve">Характеристики, на которые следует обращать внимание при планировании сети:</w:t>
      </w:r>
    </w:p>
    <w:p>
      <w:pPr>
        <w:pStyle w:val="BodyText"/>
      </w:pPr>
      <w:r>
        <w:t xml:space="preserve">Максимальная длина сегмента: расстояние, на котором сигнал сохраняет целостность без использования повторителей (репитеров) или медиаконвертеров.</w:t>
      </w:r>
    </w:p>
    <w:p>
      <w:pPr>
        <w:pStyle w:val="BodyText"/>
      </w:pPr>
      <w:r>
        <w:t xml:space="preserve">Пропускная способность (скорость передачи данных): максимальная скорость, которую поддерживает среда (например, 100 Мбит/с, 1 Гбит/с, 10 Гбит/с).</w:t>
      </w:r>
    </w:p>
    <w:p>
      <w:pPr>
        <w:pStyle w:val="BodyText"/>
      </w:pPr>
      <w:r>
        <w:t xml:space="preserve">Помехозащищенность: устойчивость к электромагнитным помехам (EMI) и радиочастотным помехам (RFI).</w:t>
      </w:r>
    </w:p>
    <w:p>
      <w:pPr>
        <w:pStyle w:val="BodyText"/>
      </w:pPr>
      <w:r>
        <w:t xml:space="preserve">Затухание сигнала: потеря мощности сигнала по мере распространения по кабелю.</w:t>
      </w:r>
    </w:p>
    <w:p>
      <w:pPr>
        <w:pStyle w:val="BodyText"/>
      </w:pPr>
      <w:r>
        <w:t xml:space="preserve">Стоимость: как самого кабеля, так и монтажных работ и активного оборудования (трансиверов, разъемов).</w:t>
      </w:r>
    </w:p>
    <w:p>
      <w:pPr>
        <w:pStyle w:val="BodyText"/>
      </w:pPr>
      <w:r>
        <w:t xml:space="preserve">Условия прокладки: возможность прокладки на открытом воздухе, в земле, в кабельных каналах, устойчивость к перепадам температур и влажности.</w:t>
      </w:r>
    </w:p>
    <w:p>
      <w:pPr>
        <w:pStyle w:val="Compact"/>
        <w:numPr>
          <w:ilvl w:val="0"/>
          <w:numId w:val="1002"/>
        </w:numPr>
      </w:pPr>
      <w:r>
        <w:t xml:space="preserve">Перечислите категории витой пары. Чем они отличаются? Какая категория в каких условиях может применяться?</w:t>
      </w:r>
      <w:r>
        <w:t xml:space="preserve"> </w:t>
      </w:r>
      <w:r>
        <w:t xml:space="preserve">Основные категории витой пары (UTP/STP):</w:t>
      </w:r>
    </w:p>
    <w:p>
      <w:pPr>
        <w:pStyle w:val="FirstParagraph"/>
      </w:pPr>
      <w:r>
        <w:t xml:space="preserve">Cat 5e (Category 5 enhanced):</w:t>
      </w:r>
    </w:p>
    <w:p>
      <w:pPr>
        <w:pStyle w:val="BodyText"/>
      </w:pPr>
      <w:r>
        <w:t xml:space="preserve">Отличия: частота 100 МГц.</w:t>
      </w:r>
    </w:p>
    <w:p>
      <w:pPr>
        <w:pStyle w:val="BodyText"/>
      </w:pPr>
      <w:r>
        <w:t xml:space="preserve">Применение: обеспечивает скорость до 1 Гбит/с (Gigabit Ethernet) на расстоянии до 100 м. Наиболее распространенная категория для офисных и домашних сетей начального уровня.</w:t>
      </w:r>
    </w:p>
    <w:p>
      <w:pPr>
        <w:pStyle w:val="BodyText"/>
      </w:pPr>
      <w:r>
        <w:t xml:space="preserve">Cat 6 (Category 6):</w:t>
      </w:r>
    </w:p>
    <w:p>
      <w:pPr>
        <w:pStyle w:val="BodyText"/>
      </w:pPr>
      <w:r>
        <w:t xml:space="preserve">Отличия: частота 250 МГц, имеет более плотную скрутку жил и часто разделительный пластиковый сердечник (spline) для уменьшения перекрестных помех.</w:t>
      </w:r>
    </w:p>
    <w:p>
      <w:pPr>
        <w:pStyle w:val="BodyText"/>
      </w:pPr>
      <w:r>
        <w:t xml:space="preserve">Применение: обеспечивает скорость до 1 Гбит/с на расстоянии до 100 м, и до 10 Гбит/с на расстоянии до 55 м. Используется в высокоскоростных офисных и дата-центрах.</w:t>
      </w:r>
    </w:p>
    <w:p>
      <w:pPr>
        <w:pStyle w:val="BodyText"/>
      </w:pPr>
      <w:r>
        <w:t xml:space="preserve">Cat 6a (Category 6 augmented):</w:t>
      </w:r>
    </w:p>
    <w:p>
      <w:pPr>
        <w:pStyle w:val="BodyText"/>
      </w:pPr>
      <w:r>
        <w:t xml:space="preserve">Отличия: частота 500 МГц, усиленная защита от внешних и внутренних перекрестных помех.</w:t>
      </w:r>
    </w:p>
    <w:p>
      <w:pPr>
        <w:pStyle w:val="BodyText"/>
      </w:pPr>
      <w:r>
        <w:t xml:space="preserve">Применение: обеспечивает скорость до 10 Гбит/с на полном расстоянии до 100 м. Используется в высоконагруженных сетях, где требуется полная гарантия пропускной способности на больших расстояниях.</w:t>
      </w:r>
    </w:p>
    <w:p>
      <w:pPr>
        <w:pStyle w:val="BodyText"/>
      </w:pPr>
      <w:r>
        <w:t xml:space="preserve">Cat 7 (Category 7):</w:t>
      </w:r>
    </w:p>
    <w:p>
      <w:pPr>
        <w:pStyle w:val="BodyText"/>
      </w:pPr>
      <w:r>
        <w:t xml:space="preserve">Отличия: частота до 600 МГц, обязательно наличие индивидуального экрана для каждой пары и общего экрана (экранированная витая пара — S/FTP).</w:t>
      </w:r>
    </w:p>
    <w:p>
      <w:pPr>
        <w:pStyle w:val="BodyText"/>
      </w:pPr>
      <w:r>
        <w:t xml:space="preserve">Применение: используется в дата-центрах и серверных с высоким уровнем электромагнитных помех. Требует специальных разъемов (GG45 или TERA) или обжима под RJ45 с заземлением.</w:t>
      </w:r>
    </w:p>
    <w:p>
      <w:pPr>
        <w:pStyle w:val="BodyText"/>
      </w:pPr>
      <w:r>
        <w:t xml:space="preserve">Cat 8 (Category 8):</w:t>
      </w:r>
    </w:p>
    <w:p>
      <w:pPr>
        <w:pStyle w:val="BodyText"/>
      </w:pPr>
      <w:r>
        <w:t xml:space="preserve">Отличия: частота до 2000 МГц (2 ГГц).</w:t>
      </w:r>
    </w:p>
    <w:p>
      <w:pPr>
        <w:pStyle w:val="BodyText"/>
      </w:pPr>
      <w:r>
        <w:t xml:space="preserve">Применение: предназначена для дата-центров. Обеспечивает скорость 25/40 Гбит/с, но на ограниченное расстояние (обычно до 30 м). Не используется для горизонтальной подсистемы (рабочих мест) из-за жестких требований к длине и стоимости.</w:t>
      </w:r>
    </w:p>
    <w:p>
      <w:pPr>
        <w:pStyle w:val="Compact"/>
        <w:numPr>
          <w:ilvl w:val="0"/>
          <w:numId w:val="1003"/>
        </w:numPr>
      </w:pPr>
      <w:r>
        <w:t xml:space="preserve">В чем отличие одномодового и многомодового оптоволокна? Какой тип кабеля в каких условиях может применяться?</w:t>
      </w:r>
      <w:r>
        <w:t xml:space="preserve"> </w:t>
      </w:r>
      <w:r>
        <w:t xml:space="preserve">Отличия:</w:t>
      </w:r>
    </w:p>
    <w:p>
      <w:pPr>
        <w:pStyle w:val="FirstParagraph"/>
      </w:pPr>
      <w:r>
        <w:t xml:space="preserve">Многомодовое оптоволокно (MMF — Multi-Mode Fiber):</w:t>
      </w:r>
    </w:p>
    <w:p>
      <w:pPr>
        <w:pStyle w:val="BodyText"/>
      </w:pPr>
      <w:r>
        <w:t xml:space="preserve">Диаметр сердцевины: больше (50 или 62,5 мкм).</w:t>
      </w:r>
    </w:p>
    <w:p>
      <w:pPr>
        <w:pStyle w:val="BodyText"/>
      </w:pPr>
      <w:r>
        <w:t xml:space="preserve">Характер распространения: свет распространяется по множеству лучей (мод), отражаясь от границ сердцевины. Это приводит к модовой дисперсии (размытию импульса).</w:t>
      </w:r>
    </w:p>
    <w:p>
      <w:pPr>
        <w:pStyle w:val="BodyText"/>
      </w:pPr>
      <w:r>
        <w:t xml:space="preserve">Источник света: обычно используются более дешевые VCSEL (лазеры с вертикальным резонатором) или светодиоды (LED).</w:t>
      </w:r>
    </w:p>
    <w:p>
      <w:pPr>
        <w:pStyle w:val="BodyText"/>
      </w:pPr>
      <w:r>
        <w:t xml:space="preserve">Дальность: эффективна на относительно небольших расстояниях (до 300–550 м для 10 Гбит/с, до 2 км для старых стандартов 100 Мбит/с).</w:t>
      </w:r>
    </w:p>
    <w:p>
      <w:pPr>
        <w:pStyle w:val="BodyText"/>
      </w:pPr>
      <w:r>
        <w:t xml:space="preserve">Стоимость: само волокно дешевле, но трансиверы работают на более коротких волнах (850 нм).</w:t>
      </w:r>
    </w:p>
    <w:p>
      <w:pPr>
        <w:pStyle w:val="BodyText"/>
      </w:pPr>
      <w:r>
        <w:t xml:space="preserve">Одномодовое оптоволокно (SMF — Single-Mode Fiber):</w:t>
      </w:r>
    </w:p>
    <w:p>
      <w:pPr>
        <w:pStyle w:val="BodyText"/>
      </w:pPr>
      <w:r>
        <w:t xml:space="preserve">Диаметр сердцевины: очень маленький (8–10 мкм).</w:t>
      </w:r>
    </w:p>
    <w:p>
      <w:pPr>
        <w:pStyle w:val="BodyText"/>
      </w:pPr>
      <w:r>
        <w:t xml:space="preserve">Характер распространения: свет распространяется по одному лучу (одна мода). Дисперсия практически отсутствует.</w:t>
      </w:r>
    </w:p>
    <w:p>
      <w:pPr>
        <w:pStyle w:val="BodyText"/>
      </w:pPr>
      <w:r>
        <w:t xml:space="preserve">Источник света: используются дорогие</w:t>
      </w:r>
      <w:r>
        <w:t xml:space="preserve"> </w:t>
      </w:r>
      <w:r>
        <w:t xml:space="preserve">лазерные диоды, работающие на длинах волн 1310 нм или 1550 нм.</w:t>
      </w:r>
    </w:p>
    <w:p>
      <w:pPr>
        <w:pStyle w:val="BodyText"/>
      </w:pPr>
      <w:r>
        <w:t xml:space="preserve">Дальность: позволяет передавать данные на десятки и сотни километров без регенерации сигнала.</w:t>
      </w:r>
    </w:p>
    <w:p>
      <w:pPr>
        <w:pStyle w:val="BodyText"/>
      </w:pPr>
      <w:r>
        <w:t xml:space="preserve">Стоимость: само волокно дороже, а трансиверы значительно дороже многомодовых, но позволяют строить магистрали большой протяженности.</w:t>
      </w:r>
    </w:p>
    <w:p>
      <w:pPr>
        <w:pStyle w:val="BodyText"/>
      </w:pPr>
      <w:r>
        <w:t xml:space="preserve">Условия применения:</w:t>
      </w:r>
    </w:p>
    <w:p>
      <w:pPr>
        <w:pStyle w:val="BodyText"/>
      </w:pPr>
      <w:r>
        <w:t xml:space="preserve">Многомодовое (MMF): применяется внутри зданий, кампусов, в серверных (внутри дата-центров), между этажами, где расстояния не превышают нескольких сотен метров. Оптимально для локальных сетей (LAN) с бюджетными ограничениями.</w:t>
      </w:r>
    </w:p>
    <w:p>
      <w:pPr>
        <w:pStyle w:val="BodyText"/>
      </w:pPr>
      <w:r>
        <w:t xml:space="preserve">Одномодовое (SMF): применяется для связи между зданиями (на расстояниях более 300–500 м), на магистралях провайдеров, в городских сетях (MAN), а также для подключения удаленных филиалов (WAN). Используется там, где требуется максимальная дальность связи без использования повторителей.</w:t>
      </w:r>
    </w:p>
    <w:p>
      <w:pPr>
        <w:pStyle w:val="Compact"/>
        <w:numPr>
          <w:ilvl w:val="0"/>
          <w:numId w:val="1004"/>
        </w:numPr>
      </w:pPr>
      <w:r>
        <w:t xml:space="preserve">Какие разъёмы встречаются на патчах оптоволокна? Чем они отличаются?</w:t>
      </w:r>
      <w:r>
        <w:t xml:space="preserve"> </w:t>
      </w:r>
      <w:r>
        <w:t xml:space="preserve">На патчах оптоволокна встречаются следующие типы разъемов (коннекторов):</w:t>
      </w:r>
    </w:p>
    <w:p>
      <w:pPr>
        <w:pStyle w:val="FirstParagraph"/>
      </w:pPr>
      <w:r>
        <w:t xml:space="preserve">SC (Subscriber Connector / Standard Connector):</w:t>
      </w:r>
    </w:p>
    <w:p>
      <w:pPr>
        <w:pStyle w:val="BodyText"/>
      </w:pPr>
      <w:r>
        <w:t xml:space="preserve">Отличия: прямоугольный разъем с фиксацией по принципу</w:t>
      </w:r>
      <w:r>
        <w:t xml:space="preserve"> </w:t>
      </w:r>
      <w:r>
        <w:t xml:space="preserve">“push-pull”</w:t>
      </w:r>
      <w:r>
        <w:t xml:space="preserve"> </w:t>
      </w:r>
      <w:r>
        <w:t xml:space="preserve">(задвинул — зафиксировалось). Имеет квадратное сечение. Обычно используется в дуплексном варианте (два разъема, скрепленных клипсой — «двойной SC»).</w:t>
      </w:r>
    </w:p>
    <w:p>
      <w:pPr>
        <w:pStyle w:val="BodyText"/>
      </w:pPr>
      <w:r>
        <w:t xml:space="preserve">Особенность: простой и надежный, широко распространен в оборудовании уровня провайдеров и корпоративных сетях (SFP-модули, патч-панели).</w:t>
      </w:r>
    </w:p>
    <w:p>
      <w:pPr>
        <w:pStyle w:val="BodyText"/>
      </w:pPr>
      <w:r>
        <w:t xml:space="preserve">LC (Lucent Connector):</w:t>
      </w:r>
    </w:p>
    <w:p>
      <w:pPr>
        <w:pStyle w:val="BodyText"/>
      </w:pPr>
      <w:r>
        <w:t xml:space="preserve">Отличия: по сути, это уменьшенная версия SC (SFF — Small Form Factor). Имеет квадратный пластиковый корпус с защелкой, напоминающей телефонный разъем (RJ).</w:t>
      </w:r>
    </w:p>
    <w:p>
      <w:pPr>
        <w:pStyle w:val="BodyText"/>
      </w:pPr>
      <w:r>
        <w:t xml:space="preserve">Особенность: занимает меньше места на лицевой панели оборудования. Наиболее распространен в современных коммутаторах, SFP/SFP+ трансиверах и плотных кроссовых панелях. Часто используется в дуплексных парах.</w:t>
      </w:r>
    </w:p>
    <w:p>
      <w:pPr>
        <w:pStyle w:val="BodyText"/>
      </w:pPr>
      <w:r>
        <w:t xml:space="preserve">FC (Ferrule Connector):</w:t>
      </w:r>
    </w:p>
    <w:p>
      <w:pPr>
        <w:pStyle w:val="BodyText"/>
      </w:pPr>
      <w:r>
        <w:t xml:space="preserve">Отличия: круглый металлический разъем с накидной гайкой (резьбовое соединение).</w:t>
      </w:r>
    </w:p>
    <w:p>
      <w:pPr>
        <w:pStyle w:val="BodyText"/>
      </w:pPr>
      <w:r>
        <w:t xml:space="preserve">Особенность: обеспечивает очень надежную фиксацию, защищен от вибраций и случайного отсоединения. Используется преимущественно в агрессивных условиях, на магистральных линиях связи, в телекоммуникационных шкафах наружной установки, где важна жесткая фиксация.</w:t>
      </w:r>
    </w:p>
    <w:p>
      <w:pPr>
        <w:pStyle w:val="BodyText"/>
      </w:pPr>
      <w:r>
        <w:t xml:space="preserve">ST (Straight Tip):</w:t>
      </w:r>
    </w:p>
    <w:p>
      <w:pPr>
        <w:pStyle w:val="BodyText"/>
      </w:pPr>
      <w:r>
        <w:t xml:space="preserve">Отличия: круглый разъем с байонетным замком (push-pull с поворотом, как у коаксиальных разъемов BNC).</w:t>
      </w:r>
    </w:p>
    <w:p>
      <w:pPr>
        <w:pStyle w:val="BodyText"/>
      </w:pPr>
      <w:r>
        <w:t xml:space="preserve">Особенность: устаревающий тип. Широко использовался в многомодовых сетях (например, в старых версиях 10BASE-FL). В современном оборудовании встречается редко из-за неудобства работы в высокоплотных средах и высокой вероятности перекоса при соединении.</w:t>
      </w:r>
    </w:p>
    <w:p>
      <w:pPr>
        <w:pStyle w:val="BodyText"/>
      </w:pPr>
      <w:r>
        <w:t xml:space="preserve">MTP/MPO (Multi-fiber Push On):</w:t>
      </w:r>
    </w:p>
    <w:p>
      <w:pPr>
        <w:pStyle w:val="BodyText"/>
      </w:pPr>
      <w:r>
        <w:t xml:space="preserve">Отличия: многожильный разъем, объединяющий в одном корпусе от 8 до 24 волокон (чаще всего 12 или 24).</w:t>
      </w:r>
    </w:p>
    <w:p>
      <w:pPr>
        <w:pStyle w:val="BodyText"/>
      </w:pPr>
      <w:r>
        <w:t xml:space="preserve">Особенность: используется для высокоплотных соединений, в дата-центрах для подключения трансиверов QSFP (40G, 100G и выше), а также для структурированных кабельных систем предварительной оконцовки.</w:t>
      </w:r>
    </w:p>
    <w:bookmarkEnd w:id="70"/>
    <w:bookmarkStart w:id="71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Я получиЛ навыки работы с физической рабочей областью Packet Tracer,</w:t>
      </w:r>
      <w:r>
        <w:t xml:space="preserve"> </w:t>
      </w:r>
      <w:r>
        <w:t xml:space="preserve">а также учёл физические параметры сети.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7</dc:title>
  <dc:creator>Седохин Даниил Алексеевич</dc:creator>
  <dc:language>ru-RU</dc:language>
  <cp:keywords/>
  <dcterms:created xsi:type="dcterms:W3CDTF">2026-03-28T19:55:45Z</dcterms:created>
  <dcterms:modified xsi:type="dcterms:W3CDTF">2026-03-28T19:55:45Z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Учёт физических параметров сети</vt:lpwstr>
  </property>
  <property fmtid="{D5CDD505-2E9C-101B-9397-08002B2CF9AE}" pid="16" name="toc-title">
    <vt:lpwstr>Содержание</vt:lpwstr>
  </property>
</Properties>
</file>