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Федеральное государственное бюджетное учреждение «Фонд содействия развитию малых форм предприятий в научно-технической сфере»</w:t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Программа «Студенческий стартап»</w:t>
      </w:r>
    </w:p>
    <w:p>
      <w:pPr>
        <w:keepNext w:val="0"/>
        <w:spacing w:before="36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Общество с ограниченной ответственностью Вкус Технологии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ИНН 9715518220, КПП 771501001, ОГРН 1257700482170</w:t>
      </w:r>
    </w:p>
    <w:p>
      <w:pPr>
        <w:keepNext w:val="0"/>
        <w:spacing w:before="108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БИЗНЕС-ПЛАН ПРОЕКТА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«вкусноты — производство съедобных музыкальных пластинок из изомальта»</w:t>
      </w:r>
    </w:p>
    <w:p>
      <w:pPr>
        <w:keepNext w:val="0"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(продукт «Вкусноты» — съедобные музыкальные пластинки)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Договор о предоставлении гранта № 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от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дата договора]</w:t>
      </w:r>
    </w:p>
    <w:p>
      <w:pPr>
        <w:keepNext w:val="0"/>
        <w:spacing w:before="0" w:after="108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Заявка № 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номер заявки]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(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очередь программы]</w:t>
      </w:r>
      <w:r>
        <w:rPr>
          <w:rFonts w:ascii="Times New Roman" w:hAnsi="Times New Roman" w:eastAsia="Times New Roman" w:cs="Times New Roman"/>
          <w:b w:val="0"/>
          <w:sz w:val="28"/>
        </w:rPr>
        <w:t>)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Получатель гранта: Андреев Даниил Семенович, генеральный директор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Телефон: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телефон]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Электронная почта: </w:t>
      </w:r>
      <w:r>
        <w:rPr>
          <w:rFonts w:ascii="Times New Roman" w:hAnsi="Times New Roman" w:eastAsia="Times New Roman" w:cs="Times New Roman"/>
          <w:b w:val="0"/>
          <w:sz w:val="28"/>
          <w:highlight w:val="yellow"/>
        </w:rPr>
        <w:t>[УТОЧНИТЬ: e-mail]</w:t>
      </w:r>
    </w:p>
    <w:p>
      <w:pPr>
        <w:keepNext w:val="0"/>
        <w:spacing w:before="0" w:after="108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Адрес: 127276, г. Москва, ул. Ботаническая, д. 33, к. 6, кв. 34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Москва</w:t>
      </w:r>
    </w:p>
    <w:p>
      <w:pPr>
        <w:keepNext w:val="0"/>
        <w:spacing w:before="0" w:after="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2026</w:t>
      </w:r>
    </w:p>
    <w:p>
      <w:pPr>
        <w:keepNext/>
        <w:pageBreakBefore/>
        <w:spacing w:before="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СОДЕРЖАНИЕ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ПЕРЕЧЕНЬ СОКРАЩЕНИЙ И ОБОЗНАЧЕНИЙ</w:t>
        <w:tab/>
        <w:t>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РЕЗЮМЕ БИЗНЕС-ПЛАНА</w:t>
        <w:tab/>
        <w:t>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1 ОПИСАНИЕ ПРОДУКЦИИ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1.1 Наименование, назначение и область применения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1.2 Состав и технология изготовления</w:t>
        <w:tab/>
        <w:t>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1.3 Технико-экономические и потребительские характеристики</w:t>
        <w:tab/>
        <w:t>10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1.4 Степень готовности продукции</w:t>
        <w:tab/>
        <w:t>11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1.5 Конкурентоспособность и перспективы выпуска</w:t>
        <w:tab/>
        <w:t>12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2 АНАЛИЗ РЫНКА</w:t>
        <w:tab/>
        <w:t>13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2.1 Рынок виниловых пластинок и целевой сегмент</w:t>
        <w:tab/>
        <w:t>13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2.2 Рынок музыкального мерча и промо-продукции</w:t>
        <w:tab/>
        <w:t>14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2.3 Оценка целевого сегмента и фазы развития спроса</w:t>
        <w:tab/>
        <w:t>14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2.4 Основные и потенциальные конкуренты</w:t>
        <w:tab/>
        <w:t>15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3 МАРКЕТИНГОВЫЙ ПЛАН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3.1 Конечные потребители продукции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3.2 Конкурентные преимущества продукции</w:t>
        <w:tab/>
        <w:t>16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3.3 Планируемая доля рынка</w:t>
        <w:tab/>
        <w:t>17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3.4 Обоснование цены</w:t>
        <w:tab/>
        <w:t>17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3.5 План продвижения продукции</w:t>
        <w:tab/>
        <w:t>18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3.6 Организация сбыта</w:t>
        <w:tab/>
        <w:t>20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4 ОРГАНИЗАЦИОННЫЙ ПЛАН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4.1 Сведения о предприятии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4.2 Команда проекта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4.3 Календарный план мероприятий по развитию проекта</w:t>
        <w:tab/>
        <w:t>22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5 ФИНАНСОВЫЙ ПЛАН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5.1 Объем финансирования проекта и его источники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5.2 Основные допущения финансового плана</w:t>
        <w:tab/>
        <w:t>23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5.3 План продаж</w:t>
        <w:tab/>
        <w:t>24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5.4 План доходов и расходов</w:t>
        <w:tab/>
        <w:t>25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5.5 План денежных поступлений и выплат</w:t>
        <w:tab/>
        <w:t>26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5.6 Финансовые результаты и показатели эффективности</w:t>
        <w:tab/>
        <w:t>28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425"/>
        <w:jc w:val="left"/>
      </w:pPr>
      <w:r>
        <w:rPr>
          <w:rFonts w:ascii="Times New Roman" w:hAnsi="Times New Roman" w:eastAsia="Times New Roman" w:cs="Times New Roman"/>
          <w:sz w:val="28"/>
        </w:rPr>
        <w:t>5.7 Возможные источники финансирования дальнейшего развития</w:t>
        <w:tab/>
        <w:t>29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8"/>
        </w:rPr>
        <w:t>ПЕРЕЧЕНЬ ИСПОЛЬЗОВАННЫХ ИСТОЧНИКОВ</w:t>
        <w:tab/>
        <w:t>30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ПЕРЕЧЕНЬ СОКРАЩЕНИЙ И ОБОЗНАЧЕНИЙ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 настоящем бизнес-плане применяются следующие сокращения и обозначения: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АУСН — автоматизированная упрощенная система налогообложения;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ГПХ — гражданско-правовой характер (договор);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ГОСТ — межгосударственный стандарт;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ИНН — идентификационный номер налогоплательщика;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КПП — код причины постановки на учет;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ОГРН — основной государственный регистрационный номер;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ОКВЭД — Общероссийский классификатор видов экономической деятельности;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ООО — общество с ограниченной ответственностью;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ТР ТС — технический регламент Таможенного союза;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ХАССП — система анализа опасностей и критических контрольных точек;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B2B — продажи организациям (артистам, лейблам, организаторам мероприятий, брендам);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LP — долгоиграющая пластинка диаметром 30 см (12 дюймов);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Ø — диаметр.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РЕЗЮМЕ БИЗНЕС-ПЛАНА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Основная цель и сущность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«вкусноты — производство съедобных музыкальных пластинок из изомальта» реализуется обществом с ограниченной ответственностью Вкус Технологии при поддержке Фонда содействия инновациям в рамках программы «Студенческий стартап».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Основной целью проекта является создание и вывод на рынок съедобной музыкальной пластинки «Вкусноты» — кондитерского изделия из пищевого изомальта в форме виниловой пластинки с центральным отверстием и рельефом канавок, повторяющим профиль и назначение виниловых пластинок [14].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Сущность проекта состоит в соединении музыкального релиза и вкуса: цвет, вкус и аромат пластинки задаются сенсорным портретом конкретного трека, который формирует собственный промо-продукт проекта «Синестезия» [17]. Пластинка одновременно становится коллекционным носителем релиза, мерчем артиста или мероприятия и десертом.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Основные цели и задачи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Для достижения основной цели проекта определены следующие задачи: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отработка записи рельефа канавок на заготовках итогового состава и подбор оборудования для серийного изготовления;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подготовка продукции к обороту: декларирование соответствия требованиям технических регламентов [11–13], маркировка, программа производственного контроля;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формирование коммерческого спроса: тиражи под релизы артистов и лейблов, фестивальные серии, подарочные наборы;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выстраивание системы продвижения: промо-продукт «Синестезия», совместные релизы, контекстная и наружная реклама, музыкальные фестивали;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обеспечение правовой охраны бренда: регистрация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Описание инновационной идеи и научно-технического задела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Инновационная идея проекта заключается в превращении музыкального трека в съедобный объект. Пластинка изготавливается из стеклообразной изомальтовой массы, которая сохраняет форму и рельеф и позволяет окрашивать изделие в широкой палитре; цвет и вкус подбираются по сенсорному портрету трека, который языковая модель строит по тексту песни, обложке и данным композиции. Прямых аналогов продукта на российском рынке нет; зарубежные съедобные пластинки из шоколада выпускались единичными тиражами [9, 10].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Сформированный задел включает: итоговый состав «изомальт + эритрит», выбранный из десяти проверенных вариантов; технологическую последовательность изготовления пластинок Ø12 и Ø30 см с контролем температуры и упаковкой; сайт проекта [16]; промо-продукт «Синестезия» с откалиброванным конвейером анализа трека; инструмент адресной работы с артистами, выпускающими новые треки.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Стадия развития проекта на момент составления бизнес-плана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 состоянию на октябрь 2026 года разработан и проверен состав изделия, изготовлены три партии образцов, проведены органолептическая оценка и проверка технических свойств, созданы сайт проекта и промо-продукт, проведена рекламная кампания [18].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Достигнуты следующие результаты: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разработаны и проверены десять вариантов состава, выбран итоговый состав «изомальт + эритрит»;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изготовлены три партии образцов в форматах Ø12 и Ø30 см, в том числе пять пластинок итогового состава разных цветов и вкусов;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проведена органолептическая оценка образцов фокус-группой из пяти человек;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создан сайт проекта и промо-продукт «Синестезия», работающий на трех адресах;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проведена рекламная кампания: Яндекс Директ с бюджетом 15 000 руб., наружная реклама на двух улицах г. Москвы, совместный релиз с артисткой SavannaOki.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Состав мероприятий после завершения договора гранта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После завершения договора гранта по программе «Студенческий стартап» планируется реализация следующих мероприятий: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отработка записи рельефа канавок и закупка оборудования для серийного изготовления;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декларирование продукции, разработка маркировки и программы производственного контроля;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первые продажи: тиражи под релизы артистов и подарочные наборы на сайте проекта;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промо-кампании с артистами и участие в музыкальных фестивалях сезона 2027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регистрация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развитие промо-продукта «Синестезия» как канала привлечения заказчиков.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Средства, необходимые для развития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Потребность в финансировании базового сценария составляет 700,0 тыс. руб. на покрытие кассового разрыва в I квартале 2027 года: закупка оборудования, декларирование продукции и запуск продаж. Источник — беспроцентный заем учредителя с возвратом во II квартале 2028 года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 Начиная со II квартала 2027 года проект финансируется за счет собственной выручки (раздел 5).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Ключевые показатели проекта приведены в таблице 1.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 – Ключевые показатели проекта (базовый сценарий)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tblHeader/>
          <w:cantSplit/>
        </w:trPr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538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Продукт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съедобная музыкальная пластинка из изомальта, форматы Ø12 и Ø30 см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Организация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ООО «Вкус Технологии», ИНН 9715518220; АУСН «доходы минус расходы»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Выручка, тыс. руб.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— 2 500,0; 2028 — 5 566,0; 2029 — 10 220,0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Финансовый результат, тыс. руб.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— 135,0; 2028 — 1 526,2; 2029 — 3 220,3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Среднегодовой рост выручки 2027–2029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102 %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Окупаемость средств гранта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квартал 2028 года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Потребность во внешнем финансировании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700,0 тыс. руб. (заем учредителя)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8"/>
        </w:rPr>
        <w:t>Ключевые факторы успеха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Ключевыми факторами успеха проекта являются: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уникальность продукта: съедобная пластинка, цвет и вкус которой связаны с конкретным треком;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собственный канал привлечения аудитории — промо-продукт «Синестезия», дающий слушателю повод поделиться продуктом;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растущий спрос на винил и музыкальный мерч в России [1, 5];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низкая себестоимость сырья и высокая маржинальность изделия (раздел 3.4);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отработанный состав и технология, проверенные на трех партиях образцов.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1 ОПИСАНИЕ ПРОДУКЦИИ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1.1 Наименование, назначение и область применения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Наименование продукции: съедобная музыкальная пластинка «Вкусноты» — кондитерское изделие из стеклообразной изомальтовой массы в форме виниловой пластинки с центральным отверстием и рельефом канавок.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Назначение продукции — коллекционный носитель музыкального релиза, мерч артиста или мероприятия и подарочный десерт. Цвет, вкус и аромат каждой пластинки задаются сенсорным портретом трека, который пользователь получает в промо-продукте «Синестезия»; тот же портрет можно опубликовать в социальных сетях карточкой трека.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Область применения продукции: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музыкальные релизы: тиражи пластинок под синглы и альбомы артистов и лейблов;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концерты и фестивали: лимитированные серии и мерч мероприятий;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брендированная промо-продукция для компаний, работающих с музыкальной тематикой;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подарки меломанам: пластинка любимого трека в подарочной упаковке.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1.2 Состав и технология изготовления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Основа изделия — изомальт (E953) с добавлением эритрита (E968): изомальт образует прозрачную стеклообразную массу, устойчив к кристаллизации и слабо поглощает влагу из воздуха [15], эритрит смягчает сладость и дает легкий охлаждающий эффект. Лимонная кислота, масляный ароматизатор и гелевый краситель задают вкус и цвет конкретного изделия. Состав выбран из десяти вариантов по результатам дегустации, проверки формования с выполнением центрального отверстия и проверки хранения [18].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Технологическая последовательность изготовления показана на рисунке 1: дозирование, сухое плавление изомальта с эритритом при 165–168 °C, охлаждение до 140 °C, ввод кислоты, ароматизатора и красителя, разлив в силиконовые формы, застывание, выполнение центрального отверстия, контроль, упаковка и маркировка. Запись рельефа канавок на заготовке — предмет дальнейшей отработки (раздел 1.4).</w:t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1 – Технологическая схема изготовления партии пластинок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1.3 Технико-экономические и потребительские характеристики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Основные технико-экономические и потребительские характеристики продукции приведены в таблице 2.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 – Основные технико-экономические и потребительские характеристики продукции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Характеристика</w:t>
            </w:r>
          </w:p>
        </w:tc>
        <w:tc>
          <w:tcPr>
            <w:tcW w:type="dxa" w:w="623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Класс продукта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сахаристое кондитерское изделие без сахара; музыкальный мерч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Форматы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Ø30 см (формат LP по ГОСТ 5289-94 [14]), масса 160 г; Ø12 см, масса 25 г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Состав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82,4 %, эритрит 16,6 %, лимонная кислота 0,6 %, ароматизатор 0,3 %, краситель 0,1 %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Цвета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 вариантов палитры «съедобного винила»; цвет подбирается по портрету трека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Вкусы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вкусовая матрица из 12 групп; пищевые ароматизаторы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герметичный пакет; подарочная коробка 17,5 × 17,5 × 9 см с подложкой и молоточком для дегустации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Срок годности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не менее 21 суток в герметичной упаковке (целевое значение)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[УТОЧНИТЬ: по результатам хранения]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Нормативная база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 ТС 021/2011 [11], ТР ТС 022/2011 [12], ТР ТС 029/2012 [13]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Стоимость сырья на изделие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Ø12 см — 29,8 руб.; Ø30 см — 190,7 руб.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Цена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Ø12 см — 990–1 490 руб.; Ø30 см — 3 900–4 900 руб. (раздел 3.4)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1.4 Степень готовности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Состав изделия разработан и проверен, изготовлены три партии образцов, проведены органолептическая оценка и проверка технических свойств; созданы сайт и промо-продукт, проведена рекламная кампания [18]. Выполненные и предстоящие работы по продукту приведены в таблице 3.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3 – Степень готовности продукции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3572"/>
        <w:gridCol w:w="3628"/>
      </w:tblGrid>
      <w:tr>
        <w:trPr>
          <w:tblHeader/>
          <w:cantSplit/>
        </w:trPr>
        <w:tc>
          <w:tcPr>
            <w:tcW w:type="dxa" w:w="215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Направление</w:t>
            </w:r>
          </w:p>
        </w:tc>
        <w:tc>
          <w:tcPr>
            <w:tcW w:type="dxa" w:w="3572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Выполнено</w:t>
            </w:r>
          </w:p>
        </w:tc>
        <w:tc>
          <w:tcPr>
            <w:tcW w:type="dxa" w:w="362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Предстоит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Состав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 вариантов проверены; итоговый состав выбран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подбор жирорастворимых красителей для темных цветов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Образцы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 партии, форматы Ø12 и Ø30 см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серийные формы, контроль толщины и плоскостности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Рельеф канавок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центральное отверстие, проверка заготовок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пробная запись рельефа, выбор оборудования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Безопасность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требования технических регламентов учтены в составе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соответствия, маркировка, ХАССП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коробка, подложка, молоточек, герметичный пакет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фирменная упаковка, этикетка с портретом трека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Продвижение</w:t>
            </w:r>
          </w:p>
        </w:tc>
        <w:tc>
          <w:tcPr>
            <w:tcW w:type="dxa" w:w="357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сайт, промо-продукт, рекламная кампания</w:t>
            </w:r>
          </w:p>
        </w:tc>
        <w:tc>
          <w:tcPr>
            <w:tcW w:type="dxa" w:w="362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кампании с артистами, фестивали сезона 2027 года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Права на результаты интеллектуальной деятельности на дату составления бизнес-плана не регистрировались; в 2027 году планируется подача заявки на регистрацию товарного знака «Вкусноты»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1.5 Конкурентоспособность и перспективы выпуска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Конкурентоспособность продукции определяется отсутствием прямых аналогов на российском рынке, связью изделия с конкретным треком и низким порогом входа для заказчика: тираж от нескольких десятков изделий под релиз или мероприятие не требует сложной подготовки производства. Изомальтовая основа выгодно отличает продукт от зарубежных шоколадных пластинок: она прозрачна, допускает яркие цвета, устойчива к температуре хранения и не содержит сахара [9, 10, 15].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Перспективы выпуска связаны с переходом от образцов к тиражам: в 2027 году планируется реализовать 1 850 изделий, в 2029 году — 7 600 изделий (раздел 5.3). Основные риски и меры по их снижению приведены в таблице 4.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4 – Основные риски проекта и меры по их снижению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1701"/>
        <w:gridCol w:w="4535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Риск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Вероятность / влияние</w:t>
            </w:r>
          </w:p>
        </w:tc>
        <w:tc>
          <w:tcPr>
            <w:tcW w:type="dxa" w:w="45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Запись рельефа канавок на изомальте не дает устойчивого воспроизведения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поэтапная отработка на итоговом составе; резервные составы с гуммиарабиком; промежуточный формат «пластинка-артефакт» с рельефом без воспроизведения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Сезонность спроса: релизы и фестивали весной и летом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сегмент в IV квартале; брендовые промо-акции; изготовление под заказ без запасов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Требования к пищевой продукции и маркировке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высокое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декларирование до начала продаж; только разрешенные добавки; программа производственного контроля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Копирование идеи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товарный знак; связка с промо-продуктом «Синестезия»; партнерства с артистами и площадками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Ручное производство и команда из одного человека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технолога и специалиста по продвижению; серийные формы и оборудование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Зависимость промо-продукта от внешних ИИ-сервисов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низкая / среднее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цепочка резервных моделей, кэш результатов, автоматические тесты перед выкладкой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2 АНАЛИЗ РЫНКА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2.1 Рынок виниловых пластинок и целевой сегмент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Виниловая пластинка переживает устойчивый рост интереса. По данным «Платформы ОФД», число покупок виниловых пластинок в России в 2025 году выросло на 15 % к 2024 году и на 32 % к 2023 году, средняя цена пластинки увеличилась на 13 % и составила 1 978 руб.; покупки проигрывателей выросли на 7 % при средней цене 26,7 тыс. руб.; две трети продаж виниловой атрибутики приходятся на онлайн-каналы [1, 2]. Производители отмечают рост объемов выпуска на 15–20 % в 2025 году [3]; фирма «Мелодия» возобновила выпуск пластинок на новом заводе в Новосибирске с планируемой мощностью более 100 тыс. пластинок в год [4]. Аудитория винила молодеет [2] и совпадает с аудиторией артистов, выпускающих релизы в стриминге. Показатели рынка приведены в таблице 5.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5 – Показатели рынка виниловых пластинок в России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535"/>
        <w:gridCol w:w="3118"/>
        <w:gridCol w:w="1701"/>
      </w:tblGrid>
      <w:tr>
        <w:trPr>
          <w:tblHeader/>
          <w:cantSplit/>
        </w:trPr>
        <w:tc>
          <w:tcPr>
            <w:tcW w:type="dxa" w:w="45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Значение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числа покупок пластинок, 2025 к 2024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+15 %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[1, 2]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числа покупок пластинок, 2025 к 2023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+32 %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[1, 2]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цена пластинки, 2025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1 978 руб. (+13 %)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покупок проигрывателей, 2025 к 2024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+7 %; средняя цена 26,7 тыс. руб.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Доля онлайн-продаж виниловой атрибутики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около двух третей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[1]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производства пластинок в России, 2025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+15–20 %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[3]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Новый завод «Мелодии» (Новосибирск)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более 100 тыс. пластинок в год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[4]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Целевой сегмент проекта на этом рынке — не замена виниловой пластинке, а дополнение к релизу: коллекционный и подарочный объект, который покупают те же слушатели и заказывают те же артисты.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2.2 Рынок музыкального мерча и промо-продукции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Продукт относится к рынку мерча и промо-продукции, который по оценке Portobello составил 80–90 млрд руб. по итогам 2024 года с ростом 15–20 % за год [5]; рынок промоиндустрии в 2025 году оценивается примерно в 61 млрд руб., а ключевой тренд — кастомизация и креативные изделия, делающие базовый продукт уникальным [6]. Спрос со стороны музыкальной индустрии подтверждается ростом стриминга: выручка музыкальных стримингов в России в 2025 году выросла на 35,2 % и достигла 53,97 млрд руб. [7]. Фестивальная аудитория исчисляется сотнями тысяч: VK Fest 2025 прошел в пяти городах, собрал 205 тыс. гостей и 295 исполнителей [8]. Показатели приведены в таблице 6.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6 – Показатели рынка мерча, промо-продукции и музыкальной индустрии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969"/>
        <w:gridCol w:w="3685"/>
        <w:gridCol w:w="1701"/>
      </w:tblGrid>
      <w:tr>
        <w:trPr>
          <w:tblHeader/>
          <w:cantSplit/>
        </w:trPr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Рынок</w:t>
            </w:r>
          </w:p>
        </w:tc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Показатель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Корпоративный мерч и бизнес-подарки, 2024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80–90 млрд руб.; рост 15–20 % в год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[5]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Промоиндустрия, 2025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около 61 млрд руб.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[6]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Музыкальный стриминг, 2025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53,97 млрд руб.; рост 35,2 %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[7]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VK Fest 2025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205 тыс. гостей, 295 исполнителей, 5 городов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[8]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2.3 Оценка целевого сегмента и фазы развития спроса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Первичный целевой сегмент — независимые артисты и небольшие лейблы, выпускающие синглы и альбомы в стриминге: для них пластинка становится физическим артефактом релиза и поводом для публикаций. Вторичный сегмент — организаторы концертов и фестивалей, для которых продукт является мерчем с высокой маржой и вирусным потенциалом. Отдельно выделяются бренды с музыкальной тематикой и частные покупатели подарков (раздел 3.1).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Спрос на продукт находится в фазе формирования: формат новый, прямых предложений на рынке нет, поэтому спрос создается через демонстрацию продукта аудитории. Эту задачу решает промо-продукт «Синестезия»: слушатель бесплатно узнает цвет и вкус любимого трека и получает предложение заказать пластинку. Первые подтверждения интереса получены при совместном релизе с артисткой и при адресной работе с артистами [18].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2.4 Основные и потенциальные конкуренты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Прямых конкурентов в формате съедобной музыкальной пластинки на российском рынке не выявлено; конкуренция идет с товарами-заменителями в бюджете мерча и подарков (таблица 7). Зарубежные шоколадные пластинки показали интерес аудитории, но имели ограниченную проигрываемость (3–5 воспроизведений у издания Breakbot, около 12 у пластинок П. Лардонга) и выпускались единичными тиражами [9, 10].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7 – Сравнительный анализ конкурентов и товаров-заменителей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2835"/>
        <w:gridCol w:w="3402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Группа</w:t>
            </w:r>
          </w:p>
        </w:tc>
        <w:tc>
          <w:tcPr>
            <w:tcW w:type="dxa" w:w="283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Сильные стороны</w:t>
            </w:r>
          </w:p>
        </w:tc>
        <w:tc>
          <w:tcPr>
            <w:tcW w:type="dxa" w:w="3402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Слабые стороны относительно продукта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Виниловые пластинки (заводские тиражи)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полноценное воспроизведение, коллекционная ценность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высокая цена, большие минимальные тиражи, долгие сроки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Шоколадные пластинки (зарубежные опыты Breakbot, П. Лардонга)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новизна, вкус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термочувствительность, непрозрачность, единичный выпуск [9, 10]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Кондитерский мерч: леденцы и шоколад с логотипом, торты с печатью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дешево, массово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нет связи с музыкой и треком, низкая коллекционная ценность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Текстильный мерч: футболки, худи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привычный формат, маржа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насыщенный рынок, нет эффекта «вкуса трека»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3 МАРКЕТИНГОВЫЙ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3.1 Конечные потребители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Конечные потребители продукции и характер их спроса приведены в таблице 8.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8 – Целевые сегменты потребителей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3969"/>
        <w:gridCol w:w="3231"/>
      </w:tblGrid>
      <w:tr>
        <w:trPr>
          <w:tblHeader/>
          <w:cantSplit/>
        </w:trPr>
        <w:tc>
          <w:tcPr>
            <w:tcW w:type="dxa" w:w="215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Сегмент</w:t>
            </w:r>
          </w:p>
        </w:tc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Потребность</w:t>
            </w:r>
          </w:p>
        </w:tc>
        <w:tc>
          <w:tcPr>
            <w:tcW w:type="dxa" w:w="32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Характер спроса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Артисты и лейблы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физический объект релиза, контент для продвижения, мерч для фанатов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тиражи от 50 изделий Ø12 см под релиз; коллекционные Ø30 см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Фестивали и концерты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мерч мероприятия, лимитированные серии под хедлайнеров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сезонные серии от 300 изделий Ø12 см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Бренды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промо-акции и подарки клиентам с музыкальной тематикой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брендированные серии с этикеткой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Частные покупатели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подарок меломану: пластинка любимого трека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розничные заказы на сайте; пик в IV квартале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3.2 Конкурентные преимущества продукции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Конкурентные преимущества продукции: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единственный на российском рынке продукт формата «съедобная музыкальная пластинка»;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персонализация под трек: цвет, вкус и аромат пластинки задаются сенсорным портретом трека;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изомальтовая основа: прозрачность, яркие цвета, устойчивость к температуре, отсутствие сахара;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низкий порог входа: тираж от нескольких десятков изделий без сложной подготовки производства;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двойная ценность для артиста: коллекционный мерч и контент для продвижения релиза.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Сильные и слабые стороны проекта, возможности и угрозы сведены в таблице 9.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9 – SWOT-анализ проекта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649"/>
        <w:gridCol w:w="4706"/>
      </w:tblGrid>
      <w:tr>
        <w:trPr>
          <w:tblHeader/>
          <w:cantSplit/>
        </w:trPr>
        <w:tc>
          <w:tcPr>
            <w:tcW w:type="dxa" w:w="464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Сильные стороны</w:t>
            </w:r>
          </w:p>
        </w:tc>
        <w:tc>
          <w:tcPr>
            <w:tcW w:type="dxa" w:w="470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Слабые стороны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уникальный формат продукта; собственный канал привлечения аудитории; низкая себестоимость сырья; отработанный состав и технология; самостоятельная разработка сайта и сервиса</w:t>
            </w:r>
          </w:p>
        </w:tc>
        <w:tc>
          <w:tcPr>
            <w:tcW w:type="dxa" w:w="470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запись рельефа канавок еще не отработана; ручное производство малых серий; команда из одного человека; продукция не задекларирована</w:t>
            </w:r>
          </w:p>
        </w:tc>
      </w:tr>
      <w:tr>
        <w:trPr>
          <w:cantSplit/>
        </w:trPr>
        <w:tc>
          <w:tcPr>
            <w:tcW w:type="dxa" w:w="464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Возможности</w:t>
            </w:r>
          </w:p>
        </w:tc>
        <w:tc>
          <w:tcPr>
            <w:tcW w:type="dxa" w:w="470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Угрозы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рынка винила и мерча [1, 5]; интерес артистов к нестандартному контенту; фестивальный сезон; выход на маркетплейсы; партнерства с лейблами и площадками</w:t>
            </w:r>
          </w:p>
        </w:tc>
        <w:tc>
          <w:tcPr>
            <w:tcW w:type="dxa" w:w="470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сезонность музыкальной индустрии; появление подражателей; изменение требований к пищевой продукции; зависимость промо-продукта от внешних ИИ-сервисов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3.3 Планируемая доля рынка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Базовый сценарий предусматривает реализацию 1 850 изделий в 2027 году, 4 130 изделий в 2028 году и 7 600 изделий в 2029 году (раздел 5.3). Выручка 2029 года — 10,2 млн руб. — составляет сотые доли процента рынка мерча и промо-продукции [5, 6]; целевым ориентиром служит не доля всего рынка мерча, а лидерство в нише съедобного музыкального мерча, в которой на дату составления бизнес-плана прямых конкурентов нет.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3.4 Обоснование цены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Цены установлены с учетом себестоимости изделия, коллекционной ценности и цен на виниловые пластинки (средняя цена пластинки 1 978 руб. [1]). Ценовые ориентиры приведены в таблице 10, расчет себестоимости — в таблице 11. Средняя цена реализации с учетом структуры продаж принята в финансовом плане равной 1 100 руб. для Ø12 см и 4 200 руб. для Ø30 см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подтвердить цены]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10 – Ценовые ориентиры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1644"/>
        <w:gridCol w:w="2494"/>
        <w:gridCol w:w="2098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Позиция</w:t>
            </w:r>
          </w:p>
        </w:tc>
        <w:tc>
          <w:tcPr>
            <w:tcW w:type="dxa" w:w="164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Розница, руб.</w:t>
            </w:r>
          </w:p>
        </w:tc>
        <w:tc>
          <w:tcPr>
            <w:tcW w:type="dxa" w:w="249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Тираж (B2B), руб./шт.</w:t>
            </w:r>
          </w:p>
        </w:tc>
        <w:tc>
          <w:tcPr>
            <w:tcW w:type="dxa" w:w="209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Минимальный тираж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Пластинка Ø12 см в подарочной коробке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1 490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990 (от 50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 / 50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Пластинка Ø30 см (коллекционная)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4 900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3 900 (от 20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 / 20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Фестивальная серия Ø12 см в пакете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690 (от 300 шт.)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300 шт.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Этикетка с портретом трека</w:t>
            </w:r>
          </w:p>
        </w:tc>
        <w:tc>
          <w:tcPr>
            <w:tcW w:type="dxa" w:w="164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включено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включено</w:t>
            </w:r>
          </w:p>
        </w:tc>
        <w:tc>
          <w:tcPr>
            <w:tcW w:type="dxa" w:w="209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11 – Себестоимость изделия,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19"/>
        <w:gridCol w:w="2268"/>
        <w:gridCol w:w="2268"/>
      </w:tblGrid>
      <w:tr>
        <w:trPr>
          <w:tblHeader/>
          <w:cantSplit/>
        </w:trPr>
        <w:tc>
          <w:tcPr>
            <w:tcW w:type="dxa" w:w="481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Статья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Ø12 см в коробке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Ø30 см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Сырье по ценам закупки второго этапа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29,8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190,7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Упаковка: коробка, подложка, молоточек / пакет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144,0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250,0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Этикетка с портретом трека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Сдельная оплата труда (изготовление, упаковка)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150,0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400,0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Энергия, износ инвентаря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20,0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Итого переменные затраты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373,8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960,7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Средняя цена реализации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1 100,0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4 200,0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Маржинальный доход на изделие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726,2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3 239,3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3.5 План продвижения продукции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Схема каналов привлечения заказчиков показана на рисунке 2, роль каналов — в таблице 12. Основной канал — промо-продукт «Синестезия» [17]: бесплатный сервис определения цвета и вкуса трека с карточками для сторис и реферальной механикой приводит аудиторию без затрат на каждый контакт и завершается кнопкой заказа пластинки на сайте проекта [16].</w:t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23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2 – Каналы привлечения заказчиков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12 – Каналы продвижения и их роль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948"/>
        <w:gridCol w:w="3855"/>
        <w:gridCol w:w="2551"/>
      </w:tblGrid>
      <w:tr>
        <w:trPr>
          <w:tblHeader/>
          <w:cantSplit/>
        </w:trPr>
        <w:tc>
          <w:tcPr>
            <w:tcW w:type="dxa" w:w="294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Канал</w:t>
            </w:r>
          </w:p>
        </w:tc>
        <w:tc>
          <w:tcPr>
            <w:tcW w:type="dxa" w:w="385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Роль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Промо-продукт «Синестезия»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вовлечение слушателей, карточки для сторис, переход к заказу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запущен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Адресная работа с артистами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персональные карточки трека под публикации о релизах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запущена в сентябре 2026 года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Контекстная реклама (Яндекс Директ)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приток аудитории на сервис и сайт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кампания с бюджетом 15 000 руб. продолжается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Наружная реклама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узнаваемость бренда в г. Москве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проведена: 6 дней, две улицы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Совместные релизы с артистами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продукт в реальном релизе, контент артиста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первый релиз с SavannaOki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Фестивали и мероприятия</w:t>
            </w:r>
          </w:p>
        </w:tc>
        <w:tc>
          <w:tcPr>
            <w:tcW w:type="dxa" w:w="385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мерч, дегустации, прямые продажи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план на сезон 2027 года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маркетинговых мероприятий на 2027 год приведен в таблице 13; он учитывает сезонность музыкальной индустрии: релизы и фестивали концентрируются в весенне-летний период.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13 – План маркетинговых мероприятий на 2027 год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5216"/>
        <w:gridCol w:w="2551"/>
      </w:tblGrid>
      <w:tr>
        <w:trPr>
          <w:tblHeader/>
          <w:cantSplit/>
        </w:trPr>
        <w:tc>
          <w:tcPr>
            <w:tcW w:type="dxa" w:w="158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521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Мероприятия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подведение итогов кампании в Яндекс Директ; доработка промо-продукта; 3–5 совместных релизов с артистами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тиражи B2B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переговоры с организаторами фестивалей; подарочные наборы на сайте; публикации в социальных сетях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договоры на фестивальный мерч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квартал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участие в музыкальных фестивалях: дегустации и продажи; совместные релизы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на площадках, рост узнаваемости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квартал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сезон: наборы Ø12 см, партнерства с брендами, маркетплейсы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пик розничных продаж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3.6 Организация сбыта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Сбыт организуется по четырем каналам: прямые продажи тиражей артистам, лейблам и организаторам мероприятий по заявкам с сайта и из адресной работы; розничные заказы на сайте проекта с доставкой по г. Москве; продажи на фестивалях и концертах; с IV квартала 2027 года — маркетплейсы для подарочного сегмента. Тиражи изготавливаются под заказ по предоплате, что исключает складские запасы и кассовые разрывы по оборотному капиталу.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4 ОРГАНИЗАЦИОННЫЙ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4.1 Сведения о предприятии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реализует общество с ограниченной ответственностью Вкус Технологии (ООО «Вкус Технологии»), зарегистрированное 01.11.2025: ИНН 9715518220, КПП 771501001, ОГРН 1257700482170, юридический адрес: 127276, г. Москва, ул. Ботаническая, д. 33, к. 6, кв. 34. Уставный капитал — 10 000 руб.; единственный участник (доля 100 %) и генеральный директор — Андреев Даниил Семенович. Основной вид деятельности по ОКВЭД — 10.82 «Производство какао, шоколада и сахаристых кондитерских изделий». Система налогообложения — АУСН «доходы минус расходы»; расчетный счет открыт в ООО «Банк Точка», учет ведется с использованием сервисов банка, заработная плата выплачивается через зарплатный проект; бухгалтерское и юридическое сопровождение при необходимости привлекается на аутсорсинге.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4.2 Команда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Работы второго этапа выполнены генеральным директором. Планируемый состав команды приведен в таблице 14.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14 – Команда проекта и привлекаемые специалисты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3969"/>
        <w:gridCol w:w="2268"/>
      </w:tblGrid>
      <w:tr>
        <w:trPr>
          <w:tblHeader/>
          <w:cantSplit/>
        </w:trPr>
        <w:tc>
          <w:tcPr>
            <w:tcW w:type="dxa" w:w="311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Роль</w:t>
            </w:r>
          </w:p>
        </w:tc>
        <w:tc>
          <w:tcPr>
            <w:tcW w:type="dxa" w:w="3969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Функции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Генеральный директор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управление, разработка продукта, сайт и промо-продукт, продажи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Андреев Даниил Семенович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Технолог кондитерского производства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серийная рецептура, ХАССП, контроль качества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в 2027 году по договору ГПХ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Специалист по продвижению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контент, работа с артистами и фестивалями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привлечение в 2027 году по договору ГПХ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Бухгалтер, юрист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учет, отчетность, договоры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аутсорсинг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4.3 Календарный план мероприятий по развитию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Календарный план мероприятий по развитию проекта приведен в таблице 15; его выполнение будет уточняться по результатам отработки записи рельефа канавок в I квартале 2027 года.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15 – Календарный план мероприятий по развитию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5216"/>
        <w:gridCol w:w="2551"/>
      </w:tblGrid>
      <w:tr>
        <w:trPr>
          <w:tblHeader/>
          <w:cantSplit/>
        </w:trPr>
        <w:tc>
          <w:tcPr>
            <w:tcW w:type="dxa" w:w="158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521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Мероприятия</w:t>
            </w:r>
          </w:p>
        </w:tc>
        <w:tc>
          <w:tcPr>
            <w:tcW w:type="dxa" w:w="255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кв. 2026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завершение договора гранта и итоговая отчетность; подготовка к отработке записи рельефа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итоги этапа приняты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отработка записи рельефа; закупка оборудования; декларирование продукции; заявка на товарный знак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право реализации продукции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первые тиражи под релизы артистов; подарочные наборы на сайте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первая выручка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III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фестивальные серии; дегустации на площадках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продажи в сезон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IV кв. 2027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подарочный сезон; маркетплейсы; партнерства с брендами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рост продаж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2028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второй комплект оборудования; расширение команды и площадки</w:t>
            </w:r>
          </w:p>
        </w:tc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4 130 изделий в год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2029</w:t>
            </w:r>
          </w:p>
        </w:tc>
        <w:tc>
          <w:tcPr>
            <w:tcW w:type="dxa" w:w="521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загрузка производственной площадки</w:t>
            </w:r>
          </w:p>
        </w:tc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7 600 изделий в год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5 ФИНАНСОВЫЙ ПЛАН</w:t>
      </w:r>
    </w:p>
    <w:p>
      <w:pPr>
        <w:pStyle w:val="Heading2"/>
        <w:spacing w:before="120"/>
      </w:pPr>
      <w:r>
        <w:rPr>
          <w:rFonts w:ascii="Times New Roman" w:hAnsi="Times New Roman" w:eastAsia="Times New Roman" w:cs="Times New Roman"/>
          <w:sz w:val="28"/>
        </w:rPr>
        <w:t>5.1 Объем финансирования проекта и его источники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Проект финансировался за счет гранта программы «Студенческий стартап»; развитие после завершения договора гранта финансируется за счет собственной выручки и беспроцентного займа учредителя на покрытие кассового разрыва в I квартале 2027 года. Объем и источники финансирования приведены в таблице 16.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16 – Объем и источники финансирования проекта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515"/>
        <w:gridCol w:w="1701"/>
        <w:gridCol w:w="1871"/>
        <w:gridCol w:w="2268"/>
      </w:tblGrid>
      <w:tr>
        <w:trPr>
          <w:tblHeader/>
          <w:cantSplit/>
        </w:trPr>
        <w:tc>
          <w:tcPr>
            <w:tcW w:type="dxa" w:w="351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Источник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Сумма, тыс. руб.</w:t>
            </w:r>
          </w:p>
        </w:tc>
        <w:tc>
          <w:tcPr>
            <w:tcW w:type="dxa" w:w="187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Период</w:t>
            </w:r>
          </w:p>
        </w:tc>
        <w:tc>
          <w:tcPr>
            <w:tcW w:type="dxa" w:w="226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Статус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Грант программы «Студенческий стартап» Фонда содействия инновациям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1 000,0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2025–2026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получен, освоен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Выручка от реализации продукции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18 286,0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2027–2029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план (раздел 5.3)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Заем учредителя (беспроцентный)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700,0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 (возврат — 2028)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планируется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Грантовые программы развития, в том числе «Старт-1» Фонда содействия инновациям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 условиям программы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2027–2028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 xml:space="preserve">потенциальный источник вне базового сценария </w:t>
            </w:r>
            <w:r>
              <w:rPr>
                <w:rFonts w:ascii="Times New Roman" w:hAnsi="Times New Roman" w:eastAsia="Times New Roman" w:cs="Times New Roman"/>
                <w:sz w:val="24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Частные инвестиции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после 2029 года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потенциально, вне базового сценария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5.2 Основные допущения финансового плана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Финансовый план составлен для базового сценария на 2027–2029 годы. Допущения финансовой модели приведены в таблице 17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подтвердить цены, объемы продаж и затраты]</w:t>
      </w:r>
      <w:r>
        <w:rPr>
          <w:rFonts w:ascii="Times New Roman" w:hAnsi="Times New Roman" w:eastAsia="Times New Roman" w:cs="Times New Roman"/>
          <w:sz w:val="28"/>
        </w:rPr>
        <w:t>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17 – Допущения финансовой модели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381"/>
        <w:gridCol w:w="3288"/>
        <w:gridCol w:w="3685"/>
      </w:tblGrid>
      <w:tr>
        <w:trPr>
          <w:tblHeader/>
          <w:cantSplit/>
        </w:trPr>
        <w:tc>
          <w:tcPr>
            <w:tcW w:type="dxa" w:w="238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3288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Принятое значение</w:t>
            </w:r>
          </w:p>
        </w:tc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Горизонт планирования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2027–2029 годы; 2027 и 2028 годы — поквартально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2026 год — завершение договора гранта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Средняя цена реализации Ø12 см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структура продаж: розница 1 490 руб., тиражи 990 руб., фестивальные серии 690 руб.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Средняя цена реализации Ø30 см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4 200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розница 4 900 руб., тиражи 3 900 руб.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 на изделие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 см — 374 руб.; Ø30 см — 961 руб.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сырье по ценам закупки второго этапа, упаковка, сдельный труд, энергия (таблица 11)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2027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1 700 шт. Ø12 см; 150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первые тиражи, фестивальный и подарочный сезоны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2028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3 800 шт. Ø12 см; 330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рост числа заказчиков, повторные тиражи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Объем продаж 2029 года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7 000 шт. Ø12 см; 600 шт. Ø30 см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загрузка производственной площадки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Постоянные затраты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1 510,0 / 1 920,0 / 3 000,0 тыс. руб. по годам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аренда, специалисты по договорам ГПХ, маркетинг, оборудование, сервисы, бухгалтерия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Налоговый режим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АУСН «доходы минус расходы»: 20 %, минимальный налог 3 % доходов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действующий режим общества; по кварталам — пропорционально доходам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 тыс. руб. в I кв. 2027 года; возврат во II кв. 2028 года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покрытие кассового разрыва до начала продаж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Порядок расчетов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поступление оплаты в квартале реализации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предоплата тиражей и заказов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Инфляция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не учитывается; цены 2026 года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сопоставимость плановых показателей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5.3 План продаж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продаж на 2027–2029 годы приведен в таблице 18.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18 – План продаж на 2027–2029 годы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01"/>
        <w:gridCol w:w="1247"/>
        <w:gridCol w:w="1247"/>
        <w:gridCol w:w="1701"/>
        <w:gridCol w:w="1701"/>
        <w:gridCol w:w="1757"/>
      </w:tblGrid>
      <w:tr>
        <w:trPr>
          <w:tblHeader/>
          <w:cantSplit/>
        </w:trPr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Период</w:t>
            </w:r>
          </w:p>
        </w:tc>
        <w:tc>
          <w:tcPr>
            <w:tcW w:type="dxa" w:w="124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Ø12 см, шт.</w:t>
            </w:r>
          </w:p>
        </w:tc>
        <w:tc>
          <w:tcPr>
            <w:tcW w:type="dxa" w:w="124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Ø30 см, шт.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Ø12 см, тыс. руб.</w:t>
            </w:r>
          </w:p>
        </w:tc>
        <w:tc>
          <w:tcPr>
            <w:tcW w:type="dxa" w:w="170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Ø30 см, тыс. руб.</w:t>
            </w:r>
          </w:p>
        </w:tc>
        <w:tc>
          <w:tcPr>
            <w:tcW w:type="dxa" w:w="1757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Выручка итого, тыс. руб.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 кв. 2027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110,0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42,0</w:t>
            </w:r>
          </w:p>
        </w:tc>
        <w:tc>
          <w:tcPr>
            <w:tcW w:type="dxa" w:w="175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152,0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330,0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III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1 132,0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IV кв.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550,0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210,0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760,0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2027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1 700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150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1 870,0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630,0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440,0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566,0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294,0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1 174,0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III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1 760,0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546,0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2 306,0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IV кв. 2028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1 000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1 520,0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2028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3 800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330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4 180,0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1 386,0</w:t>
            </w:r>
          </w:p>
        </w:tc>
        <w:tc>
          <w:tcPr>
            <w:tcW w:type="dxa" w:w="1757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 (год)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7 000</w:t>
            </w:r>
          </w:p>
        </w:tc>
        <w:tc>
          <w:tcPr>
            <w:tcW w:type="dxa" w:w="124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600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7 700,0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2 520,0</w:t>
            </w:r>
          </w:p>
        </w:tc>
        <w:tc>
          <w:tcPr>
            <w:tcW w:type="dxa" w:w="175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5.4 План доходов и расходов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доходов и расходов на 2027 и 2028 годы по кварталам приведен в таблицах 19 и 20, сводный план на 2027–2029 годы — в таблице 21.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19 – План доходов и расходов на 2027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330,0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550,0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1 870,0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630,0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доходы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затраты: сырье, упаковка, сдельный труд, энергия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141,0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356,9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235,1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240,0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расходы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−634,6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51,3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466,1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252,2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20 – План доходов и расходов на 2028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440,0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880,0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1 760,0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1 100,0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4 180,0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294,0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1 386,0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доходы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затраты: сырье, упаковка, сдельный труд, энергия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178,4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366,5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723,3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470,1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1 738,3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80,5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158,1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104,1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381,5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расходы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877,0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4 039,8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−256,2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297,0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944,6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540,8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1 526,2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21 – Сводный план доходов и расходов на 2027–2029 годы,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Доходы, в том числе: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Ø12 см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1 870,0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4 180,0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7 700,0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 от реализации пластинок Ø30 см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630,0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1 386,0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Расходы, в том числе: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4 039,8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переменные затраты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1 738,3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3 194,6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аренда производственной площадки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240,0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480,0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оплата специалистов по договорам ГПХ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720,0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1 200,0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маркетинг и реклама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оборудование для серийного изготовления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декларирование и лабораторные испытания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хостинг, домены, внешние сервисы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бухгалтерское и юридическое сопровождение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налог (АУСН)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381,5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805,1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Финансовый результат нарастающим итогом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5.5 План денежных поступлений и выплат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План денежных поступлений и выплат на 2027 и 2028 годы по кварталам приведен в таблицах 22 и 23, сводный план — в таблице 24. Остаток денежных средств остается положительным во всех периодах планирования.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22 – План денежных поступлений и выплат на 2027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начало периода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116,7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582,8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 (беспроцентный)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852,0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456,0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1 132,0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760,0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786,6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404,7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665,9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507,8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51,3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466,1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252,2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денежных средств на конец периода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65,4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116,7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582,8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23 – План денежных поступлений и выплат на 2028 год,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685"/>
        <w:gridCol w:w="1134"/>
        <w:gridCol w:w="1134"/>
        <w:gridCol w:w="1134"/>
        <w:gridCol w:w="1134"/>
        <w:gridCol w:w="1134"/>
      </w:tblGrid>
      <w:tr>
        <w:trPr>
          <w:tblHeader/>
          <w:cantSplit/>
        </w:trPr>
        <w:tc>
          <w:tcPr>
            <w:tcW w:type="dxa" w:w="3685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III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IV кв.</w:t>
            </w:r>
          </w:p>
        </w:tc>
        <w:tc>
          <w:tcPr>
            <w:tcW w:type="dxa" w:w="113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Год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начало периода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578,8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175,8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1 120,4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 (беспроцентный)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566,0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1 174,0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2 306,0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1 520,0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877,0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4 039,8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822,2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1 577,0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1 361,4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979,2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4 739,8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−256,2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−403,0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944,6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540,8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826,2</w:t>
            </w:r>
          </w:p>
        </w:tc>
      </w:tr>
      <w:tr>
        <w:trPr>
          <w:cantSplit/>
        </w:trPr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денежных средств на конец периода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578,8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175,8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1 120,4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13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24 – Сводный план денежных поступлений и выплат на 2027–2029 годы, тыс. руб.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на начало года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Поступления от реализации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Заем учредителя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поступления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3 200,0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Операционные выплаты и налог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4 039,8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Возврат займа учредителя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700,0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–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 выплаты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2 365,0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4 739,8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6 999,7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Сальдо денежных потоков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Остаток на конец года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5.6 Финансовые результаты и показатели эффективности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Финансовые результаты и показатели эффективности проекта приведены в таблице 25, динамика доходов, расходов и финансового результата — на рисунке 3.</w:t>
      </w:r>
    </w:p>
    <w:p>
      <w:pPr>
        <w:keepNext/>
        <w:spacing w:before="24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8"/>
        </w:rPr>
        <w:t>Таблица 25 – Финансовые результаты и показатели эффективности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1474"/>
        <w:gridCol w:w="1474"/>
        <w:gridCol w:w="1531"/>
      </w:tblGrid>
      <w:tr>
        <w:trPr>
          <w:tblHeader/>
          <w:cantSplit/>
        </w:trPr>
        <w:tc>
          <w:tcPr>
            <w:tcW w:type="dxa" w:w="4876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2027</w:t>
            </w:r>
          </w:p>
        </w:tc>
        <w:tc>
          <w:tcPr>
            <w:tcW w:type="dxa" w:w="1474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2028</w:t>
            </w:r>
          </w:p>
        </w:tc>
        <w:tc>
          <w:tcPr>
            <w:tcW w:type="dxa" w:w="1531"/>
            <w:shd w:val="clear" w:color="auto" w:fill="EDEDED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2029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Выручка,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2 500,0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5 566,0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10 220,0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Финансовый результат,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1 526,2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3 220,3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Рентабельность продаж по финансовому результату, %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5,4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27,4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31,5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Финансовый результат нарастающим итогом, тыс. руб.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135,0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4 881,5</w:t>
            </w:r>
          </w:p>
        </w:tc>
      </w:tr>
      <w:tr>
        <w:trPr>
          <w:cantSplit/>
        </w:trPr>
        <w:tc>
          <w:tcPr>
            <w:tcW w:type="dxa" w:w="487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Остаток денежных средств на конец года, тыс. руб.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835,0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1 661,2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righ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4 881,5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8"/>
        </w:rPr>
      </w:r>
    </w:p>
    <w:p>
      <w:pPr>
        <w:keepNext/>
        <w:spacing w:before="12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ynam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t>Рисунок 3 – Динамика доходов, расходов и финансового результата проекта в 2027–2029 годах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Выручка проекта возрастает с 2 500,0 тыс. руб. в 2027 году до 10 220,0 тыс. руб. в 2029 году; среднегодовой темп роста составляет около 102 %. Финансовый результат положителен с первого года продаж: 135,0 тыс. руб. в 2027 году, 1 526,2 тыс. руб. в 2028 году и 3 220,3 тыс. руб. в 2029 году. Точка безубыточности 2027 года — 2 294,8 тыс. руб. выручки, или 92 % плановой выручки года. Накопленный финансовый результат превышает сумму средств гранта в III квартале 2028 года.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8"/>
        </w:rPr>
        <w:t>5.7 Возможные источники финансирования дальнейшего развития</w:t>
      </w:r>
    </w:p>
    <w:p>
      <w:pPr>
        <w:keepNext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Дальнейшее развитие проекта планируется финансировать из следующих источников: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собственная выручка от реализации пластинок — основной источник со II квартала 2027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беспроцентный заем учредителя — покрытие кассового разрыва в I квартале 2027 года с возвратом во II квартале 2028 года;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 xml:space="preserve">грантовые программы развития, в том числе «Старт-1» Фонда содействия инновациям, — для ускоренного создания производственного участка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планируется ли подача заявки]</w:t>
      </w:r>
      <w:r>
        <w:rPr>
          <w:rFonts w:ascii="Times New Roman" w:hAnsi="Times New Roman" w:eastAsia="Times New Roman" w:cs="Times New Roman"/>
          <w:sz w:val="28"/>
        </w:rPr>
        <w:t>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069" w:hanging="360"/>
        <w:jc w:val="both"/>
      </w:pPr>
      <w:r>
        <w:rPr>
          <w:rFonts w:ascii="Times New Roman" w:hAnsi="Times New Roman" w:eastAsia="Times New Roman" w:cs="Times New Roman"/>
          <w:sz w:val="28"/>
        </w:rPr>
        <w:t>частные инвестиции — после 2029 года для масштабирования производства и выхода в новые регионы.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Банковское кредитование в базовом сценарии не планируется. Комбинация перечисленных источников обеспечивает финансирование базового сценария без критической зависимости от одного источника.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8"/>
        </w:rPr>
        <w:t>ПЕРЕЧЕНЬ ИСПОЛЬЗОВАННЫХ ИСТОЧНИКОВ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Спрос на виниловые пластинки в России взлетел на 15 % в 2025 году // 3DNews, 2026. URL: https://3dnews.ru/1137266/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Продажи виниловых пластинок в России выросли за два года на 32 % // Retail.ru, 22.02.2026. URL: https://www.retail.ru/news/prodazhi-vinilovykh-plastinok-v-rossii-vyrosli-za-dva-goda-na-32-22-fevralya-2026-274792/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Производство виниловых пластинок в России: оценки участников рынка // Коммерсантъ FM, 2026. URL: https://www.kommersant.ru/doc/8556506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«Мелодия» начнет производить в Новосибирске виниловые пластинки // Халва Медиа, 2025. URL: https://media.halvacard.ru/news/melodiya-nachnet-proizvodit-v-novosibirske-vinilovye-plastinki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Российский рынок мерча достигнет 80–90 млрд рублей // Sostav.ru, 2024. URL: https://www.sostav.ru/publication/rossijskij-rynok-mercha-dostignet-80-90-mlrd-rublej-72292.html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Мерч как отдельная бизнес-модель // Sostav.ru, 2025. URL: https://www.sostav.ru/publication/merch-kak-otdelnaya-biznes-model-85868.html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Выручка музыкальных стримингов в России выросла на 35 % в 2025 году // Sostav.ru, 2026. URL: https://www.sostav.ru/publication/vyruchka-muzykalnykh-strimingov-v-rossii-vyrosla-na-35-v-2025-godu-85687.html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VK Fest 2025 прошел в пяти городах, собрал 205 тысяч гостей и 295 артистов // MenToday, 2025. URL: https://www.mentoday.ru/life/note/vk-fest-2025-proshel-v-pyati-gorodah-sobral-205-tysyach-gostei-i-295-artistov/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Chocolate Record Woos Your Tastebuds and Destroys Your Needles // Gizmodo, 2012. URL: https://gizmodo.com/5945373/chocolate-record-woos-your-tastebuds-and-destroys-your-needles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After listening to music you can enjoy eating «chocolate record» // Gigazine, 2011. URL: https://gigazine.net/gsc_news/en/20110713_playable_chocolate_record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021/2011 «О безопасности пищевой продукции»;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022/2011 «Пищевая продукция в части ее маркировки»;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Технический регламент Таможенного союза ТР ТС 029/2012 «Требования безопасности пищевых добавок, ароматизаторов и технологических вспомогательных средств»;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ГОСТ 5289-94 «Грампластинки аналоговые. Общие технические условия»;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Isomalt. Технические материалы производителя BENEO GmbH. URL: https://www.beneo.com/ingredients/human-nutrition/functional-carbohydrates/isomalt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Сайт стартап-проекта «Вкусноты». URL: https://вкусноты.рф/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>Промо-продукт «Синестезия» («Вкусный трек»). URL: https://вкусныйтрек.рф/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069" w:hanging="360"/>
        <w:jc w:val="left"/>
      </w:pPr>
      <w:r>
        <w:rPr>
          <w:rFonts w:ascii="Times New Roman" w:hAnsi="Times New Roman" w:eastAsia="Times New Roman" w:cs="Times New Roman"/>
          <w:sz w:val="28"/>
        </w:rPr>
        <w:t xml:space="preserve">Отчет о выполнении работ по второму этапу договора о предоставлении гранта № 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8"/>
        </w:rPr>
        <w:t xml:space="preserve"> от </w:t>
      </w:r>
      <w:r>
        <w:rPr>
          <w:rFonts w:ascii="Times New Roman" w:hAnsi="Times New Roman" w:eastAsia="Times New Roman" w:cs="Times New Roman"/>
          <w:sz w:val="28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8"/>
        </w:rPr>
        <w:t xml:space="preserve"> / ООО «Вкус Технологии». Москва, 2026.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8"/>
          <w:szCs w:val="28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hAnsi="Times New Roman" w:cs="Times New Roman"/>
        <w:sz w:val="28"/>
        <w:szCs w:val="28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hAnsi="Times New Roman" w:cs="Times New Roman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  <w:num w:numId="102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709" w:left="0"/>
      <w:jc w:val="both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Бизнес-план проекта «Вкусноты»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