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Федеральное государственное бюджетное учреждение «Фонд содействия развитию малых форм предприятий в научно-технической сфере»</w:t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Программа «Студенческий стартап»</w:t>
      </w:r>
    </w:p>
    <w:p>
      <w:pPr>
        <w:keepNext w:val="0"/>
        <w:spacing w:before="36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Общество с ограниченной ответственностью «Вкус Технологии»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ИНН 9715518220, КПП 771501001, ОГРН 1257700482170</w:t>
      </w:r>
    </w:p>
    <w:p>
      <w:pPr>
        <w:keepNext w:val="0"/>
        <w:spacing w:before="108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БИЗНЕС-ПЛАН ПРОЕКТА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«вкусноты — производство съедобных музыкальных пластинок из изомальта»</w:t>
      </w:r>
    </w:p>
    <w:p>
      <w:pPr>
        <w:keepNext w:val="0"/>
        <w:spacing w:before="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(продукт «Вкусноты» — съедобные музыкальные пластинки)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Договор о предоставлении гранта № 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от 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дата договора]</w:t>
      </w:r>
    </w:p>
    <w:p>
      <w:pPr>
        <w:keepNext w:val="0"/>
        <w:spacing w:before="0" w:after="108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Заявка № 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номер заявки]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(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очередь программы]</w:t>
      </w:r>
      <w:r>
        <w:rPr>
          <w:rFonts w:ascii="Times New Roman" w:hAnsi="Times New Roman" w:eastAsia="Times New Roman" w:cs="Times New Roman"/>
          <w:b w:val="0"/>
          <w:sz w:val="28"/>
        </w:rPr>
        <w:t>)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Получатель гранта: Андреев Даниил Семенович, генеральный директор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Телефон: 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телефон]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Электронная почта: 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e-mail]</w:t>
      </w:r>
    </w:p>
    <w:p>
      <w:pPr>
        <w:keepNext w:val="0"/>
        <w:spacing w:before="0" w:after="108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Адрес: 127276, г. Москва, ул. Ботаническая, д. 33, к. 6, кв. 34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Москва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2026</w:t>
      </w:r>
    </w:p>
    <w:p>
      <w:pPr>
        <w:keepNext/>
        <w:pageBreakBefore/>
        <w:spacing w:before="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СОДЕРЖАНИЕ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ПЕРЕЧЕНЬ СОКРАЩЕНИЙ И ОБОЗНАЧЕНИЙ</w:t>
        <w:tab/>
        <w:t>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РЕЗЮМЕ БИЗНЕС-ПЛАНА</w:t>
        <w:tab/>
        <w:t>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1 ОПИСАНИЕ ПРОДУКЦИИ</w:t>
        <w:tab/>
        <w:t>9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1.1 Наименование, назначение и область применения</w:t>
        <w:tab/>
        <w:t>9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1.2 Состав и технология изготовления</w:t>
        <w:tab/>
        <w:t>9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1.3 Технико-экономические и потребительские характеристики</w:t>
        <w:tab/>
        <w:t>10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1.4 Степень готовности продукции</w:t>
        <w:tab/>
        <w:t>11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1.5 Конкурентоспособность и перспективы выпуска</w:t>
        <w:tab/>
        <w:t>12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2 АНАЛИЗ РЫНКА</w:t>
        <w:tab/>
        <w:t>13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2.1 Рынок виниловых пластинок и целевой сегмент</w:t>
        <w:tab/>
        <w:t>13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2.2 Рынок музыкального мерча и промо-продукции</w:t>
        <w:tab/>
        <w:t>14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2.3 Оценка целевого сегмента и фазы развития спроса</w:t>
        <w:tab/>
        <w:t>14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2.4 Основные и потенциальные конкуренты</w:t>
        <w:tab/>
        <w:t>15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3 МАРКЕТИНГОВЫЙ ПЛАН</w:t>
        <w:tab/>
        <w:t>16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3.1 Конечные потребители продукции</w:t>
        <w:tab/>
        <w:t>16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3.2 Конкурентные преимущества продукции</w:t>
        <w:tab/>
        <w:t>16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3.3 Планируемая доля рынка</w:t>
        <w:tab/>
        <w:t>17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3.4 Обоснование цены</w:t>
        <w:tab/>
        <w:t>17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3.5 План продвижения продукции</w:t>
        <w:tab/>
        <w:t>18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3.6 Организация сбыта</w:t>
        <w:tab/>
        <w:t>20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4 ОРГАНИЗАЦИОННЫЙ ПЛАН</w:t>
        <w:tab/>
        <w:t>21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4.1 Сведения о предприятии</w:t>
        <w:tab/>
        <w:t>21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4.2 Команда проекта</w:t>
        <w:tab/>
        <w:t>21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4.3 Календарный план мероприятий по развитию проекта</w:t>
        <w:tab/>
        <w:t>21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5 ФИНАНСОВЫЙ ПЛАН</w:t>
        <w:tab/>
        <w:t>23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5.1 Объем финансирования проекта и его источники</w:t>
        <w:tab/>
        <w:t>23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5.2 Основные допущения финансового плана</w:t>
        <w:tab/>
        <w:t>23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5.3 План продаж</w:t>
        <w:tab/>
        <w:t>24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5.4 План доходов и расходов</w:t>
        <w:tab/>
        <w:t>25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5.5 План денежных поступлений и выплат</w:t>
        <w:tab/>
        <w:t>26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5.6 Финансовые результаты и показатели эффективности</w:t>
        <w:tab/>
        <w:t>28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5.7 Возможные источники финансирования дальнейшего развития</w:t>
        <w:tab/>
        <w:t>29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ПЕРЕЧЕНЬ ИСПОЛЬЗОВАННЫХ ИСТОЧНИКОВ</w:t>
        <w:tab/>
        <w:t>30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ПЕРЕЧЕНЬ СОКРАЩЕНИЙ И ОБОЗНАЧЕНИЙ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 настоящем бизнес-плане применяются следующие сокращения и обозначения: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АУСН — автоматизированная упрощенная система налогообложения;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ГПХ — гражданско-правовой характер (договор);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ГОСТ — межгосударственный стандарт;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ИНН — идентификационный номер налогоплательщика;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КПП — код причины постановки на учет;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ОГРН — основной государственный регистрационный номер;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ОКВЭД — Общероссийский классификатор видов экономической деятельности;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ООО — общество с ограниченной ответственностью;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ТР ТС — технический регламент Таможенного союза;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ХАССП — система анализа опасностей и критических контрольных точек;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B2B — продажи организациям (артистам, лейблам, организаторам мероприятий, брендам);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LP — долгоиграющая пластинка диаметром 30 см (12 дюймов);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Ø — диаметр.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РЕЗЮМЕ БИЗНЕС-ПЛАНА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Основная цель и сущность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Проект «вкусноты — производство съедобных музыкальных пластинок из изомальта» реализуется обществом с ограниченной ответственностью «Вкус Технологии» при поддержке Фонда содействия инновациям в рамках программы «Студенческий стартап».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Основной целью проекта является создание и вывод на рынок съедобной музыкальной пластинки «Вкусноты» — кондитерского изделия из пищевого изомальта в форме виниловой пластинки с центральным отверстием и рельефом канавок, повторяющим профиль и назначение виниловых пластинок [14].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Сущность проекта состоит в соединении музыкального релиза и вкуса: цвет, вкус и аромат пластинки задаются сенсорным портретом конкретного трека, который формирует собственный промо-продукт проекта «Синестезия» [17]. Пластинка одновременно становится коллекционным носителем релиза, мерчем артиста или мероприятия и десертом.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Основные цели и задачи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Для достижения основной цели проекта определены следующие задачи: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отработка записи рельефа канавок на заготовках итогового состава и подбор оборудования для серийного изготовления;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подготовка продукции к обороту: декларирование соответствия требованиям технических регламентов [11–13], маркировка, программа производственного контроля;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формирование коммерческого спроса: тиражи под релизы артистов и лейблов, фестивальные серии, подарочные наборы;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выстраивание системы продвижения: промо-продукт «Синестезия», совместные релизы, контекстная и наружная реклама, музыкальные фестивали;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обеспечение правовой охраны бренда: регистрация товарного знака «Вкусноты»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8"/>
        </w:rPr>
        <w:t>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Описание инновационной идеи и научно-технического задела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Инновационная идея проекта заключается в превращении музыкального трека в съедобный объект. Пластинка изготавливается из стеклообразной изомальтовой массы, которая сохраняет форму и рельеф и позволяет окрашивать изделие в широкой палитре; цвет и вкус подбираются по сенсорному портрету трека, который языковая модель строит по тексту песни, обложке и данным композиции. Прямых аналогов продукта на российском рынке нет; зарубежные съедобные пластинки из шоколада выпускались единичными тиражами [9, 10].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Сформированный задел включает: итоговый состав «изомальт + эритрит», выбранный из десяти проверенных вариантов; технологическую последовательность изготовления пластинок Ø12 и Ø30 см с контролем температуры и упаковкой; сайт проекта [16]; промо-продукт «Синестезия» с откалиброванным конвейером анализа трека; инструмент адресной работы с артистами, выпускающими новые треки.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Стадия развития проекта на момент составления бизнес-плана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По состоянию на октябрь 2026 года разработан и проверен состав изделия, изготовлены три партии образцов, проведены органолептическая оценка и проверка технических свойств, созданы сайт проекта и промо-продукт, проведена рекламная кампания [18].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Достигнуты следующие результаты: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разработаны и проверены десять вариантов состава, выбран итоговый состав «изомальт + эритрит»;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изготовлены три партии образцов в форматах Ø12 и Ø30 см, в том числе пять пластинок итогового состава разных цветов и вкусов;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проведена органолептическая оценка образцов фокус-группой из пяти человек;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создан сайт проекта и промо-продукт «Синестезия», работающий на трех адресах;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проведена рекламная кампания: Яндекс Директ с бюджетом 15 000 руб., наружная реклама на двух улицах г. Москвы, совместный релиз с артисткой SavannaOki.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Состав мероприятий после завершения договора гранта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После завершения договора гранта по программе «Студенческий стартап» планируется реализация следующих мероприятий: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отработка записи рельефа канавок и закупка оборудования для серийного изготовления;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декларирование продукции, разработка маркировки и программы производственного контроля;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первые продажи: тиражи под релизы артистов и подарочные наборы на сайте проекта;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промо-кампании с артистами и участие в музыкальных фестивалях сезона 2027 года;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регистрация товарного знака «Вкусноты»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8"/>
        </w:rPr>
        <w:t>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развитие промо-продукта «Синестезия» как канала привлечения заказчиков.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Средства, необходимые для развития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Потребность в финансировании базового сценария составляет 700,0 тыс. руб. на покрытие кассового разрыва в I квартале 2027 года: закупка оборудования, декларирование продукции и запуск продаж. Источник — беспроцентный заем учредителя с возвратом во II квартале 2028 года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8"/>
        </w:rPr>
        <w:t>. Начиная со II квартала 2027 года проект финансируется за счет собственной выручки (раздел 5).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Ключевые показатели проекта приведены в таблице 1.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 – Ключевые показатели проекта (базовый сценарий)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969"/>
        <w:gridCol w:w="5386"/>
      </w:tblGrid>
      <w:tr>
        <w:trPr>
          <w:tblHeader/>
          <w:cantSplit/>
        </w:trPr>
        <w:tc>
          <w:tcPr>
            <w:tcW w:type="dxa" w:w="396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Показатель</w:t>
            </w:r>
          </w:p>
        </w:tc>
        <w:tc>
          <w:tcPr>
            <w:tcW w:type="dxa" w:w="538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Продукт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съедобная музыкальная пластинка из изомальта, форматы Ø12 и Ø30 см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Организация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ООО «Вкус Технологии», ИНН 9715518220; АУСН «доходы минус расходы»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Выручка, тыс. руб.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 — 2 500,0; 2028 — 5 566,0; 2029 — 10 220,0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Финансовый результат, тыс. руб.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 — 135,0; 2028 — 1 526,2; 2029 — 3 220,3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Среднегодовой рост выручки 2027–2029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102 %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Окупаемость средств гранта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III квартал 2028 года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Потребность во внешнем финансировании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700,0 тыс. руб. (заем учредителя)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Ключевые факторы успеха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Ключевыми факторами успеха проекта являются: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уникальность продукта: съедобная пластинка, цвет и вкус которой связаны с конкретным треком;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собственный канал привлечения аудитории — промо-продукт «Синестезия», дающий слушателю повод поделиться продуктом;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растущий спрос на винил и музыкальный мерч в России [1, 5];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низкая себестоимость сырья и высокая маржинальность изделия (раздел 3.4);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отработанный состав и технология, проверенные на трех партиях образцов.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1 ОПИСАНИЕ ПРОДУКЦИИ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1.1 Наименование, назначение и область применения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Наименование продукции: съедобная музыкальная пластинка «Вкусноты» — кондитерское изделие из стеклообразной изомальтовой массы в форме виниловой пластинки с центральным отверстием и рельефом канавок.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Назначение продукции — коллекционный носитель музыкального релиза, мерч артиста или мероприятия и подарочный десерт. Цвет, вкус и аромат каждой пластинки задаются сенсорным портретом трека, который пользователь получает в промо-продукте «Синестезия»; тот же портрет можно опубликовать в социальных сетях карточкой трека.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Область применения продукции: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музыкальные релизы: тиражи пластинок под синглы и альбомы артистов и лейблов;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концерты и фестивали: лимитированные серии и мерч мероприятий;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брендированная промо-продукция для компаний, работающих с музыкальной тематикой;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подарки меломанам: пластинка любимого трека в подарочной упаковке.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1.2 Состав и технология изготовления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Основа изделия — изомальт (E953) с добавлением эритрита (E968): изомальт образует прозрачную стеклообразную массу, устойчив к кристаллизации и слабо поглощает влагу из воздуха [15], эритрит смягчает сладость и дает легкий охлаждающий эффект. Лимонная кислота, масляный ароматизатор и гелевый краситель задают вкус и цвет конкретного изделия. Состав выбран из десяти вариантов по результатам дегустации, проверки формования с выполнением центрального отверстия и проверки хранения [18].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Технологическая последовательность изготовления показана на рисунке 1: дозирование, сухое плавление изомальта с эритритом при 165–168 °C, охлаждение до 140 °C, ввод кислоты, ароматизатора и красителя, разлив в силиконовые формы, застывание, выполнение центрального отверстия, контроль, упаковка и маркировка. Запись рельефа канавок на заготовке — предмет дальнейшей отработки (раздел 1.4).</w:t>
      </w:r>
    </w:p>
    <w:p>
      <w:pPr>
        <w:keepNext/>
        <w:spacing w:before="12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8"/>
        </w:rPr>
        <w:t>Рисунок 1 – Технологическая схема изготовления партии пластинок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1.3 Технико-экономические и потребительские характеристики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Основные технико-экономические и потребительские характеристики продукции приведены в таблице 2.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 – Основные технико-экономические и потребительские характеристики продукции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6236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Характеристика</w:t>
            </w:r>
          </w:p>
        </w:tc>
        <w:tc>
          <w:tcPr>
            <w:tcW w:type="dxa" w:w="623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Класс продукта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сахаристое кондитерское изделие без сахара; музыкальный мерч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Форматы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Ø30 см (формат LP по ГОСТ 5289-94 [14]), масса 160 г; Ø12 см, масса 25 г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Состав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изомальт 82,4 %, эритрит 16,6 %, лимонная кислота 0,6 %, ароматизатор 0,3 %, краситель 0,1 %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Цвета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12 вариантов палитры «съедобного винила»; цвет подбирается по портрету трека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Вкусы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вкусовая матрица из 12 групп; пищевые ароматизаторы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Упаковка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герметичный пакет; подарочная коробка 17,5 × 17,5 × 9 см с подложкой и молоточком для дегустации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Срок годности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не менее 21 суток в герметичной упаковке (целевое значение)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по результатам хранения]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Нормативная база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ТР ТС 021/2011 [11], ТР ТС 022/2011 [12], ТР ТС 029/2012 [13]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Стоимость сырья на изделие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Ø12 см — 29,8 руб.; Ø30 см — 190,7 руб.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Цена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Ø12 см — 990–1 490 руб.; Ø30 см — 3 900–4 900 руб. (раздел 3.4)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1.4 Степень готовности продукции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Состав изделия разработан и проверен, изготовлены три партии образцов, проведены органолептическая оценка и проверка технических свойств; созданы сайт и промо-продукт, проведена рекламная кампания [18]. Выполненные и предстоящие работы по продукту приведены в таблице 3.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3 – Степень готовности продукции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3572"/>
        <w:gridCol w:w="3628"/>
      </w:tblGrid>
      <w:tr>
        <w:trPr>
          <w:tblHeader/>
          <w:cantSplit/>
        </w:trPr>
        <w:tc>
          <w:tcPr>
            <w:tcW w:type="dxa" w:w="215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Направление</w:t>
            </w:r>
          </w:p>
        </w:tc>
        <w:tc>
          <w:tcPr>
            <w:tcW w:type="dxa" w:w="3572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Выполнено</w:t>
            </w:r>
          </w:p>
        </w:tc>
        <w:tc>
          <w:tcPr>
            <w:tcW w:type="dxa" w:w="362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Предстоит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Состав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 вариантов проверены; итоговый состав выбран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подбор жирорастворимых красителей для темных цветов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Образцы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 партии, форматы Ø12 и Ø30 см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серийные формы, контроль толщины и плоскостности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Рельеф канавок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центральное отверстие, проверка заготовок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пробная запись рельефа, выбор оборудования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Безопасность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требования технических регламентов учтены в составе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декларирование соответствия, маркировка, ХАССП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Упаковка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коробка, подложка, молоточек, герметичный пакет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фирменная упаковка, этикетка с портретом трека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Продвижение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сайт, промо-продукт, рекламная кампания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кампании с артистами, фестивали сезона 2027 года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Права на результаты интеллектуальной деятельности на дату составления бизнес-плана не регистрировались; в 2027 году планируется подача заявки на регистрацию товарного знака «Вкусноты»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8"/>
        </w:rPr>
        <w:t>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1.5 Конкурентоспособность и перспективы выпуска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Конкурентоспособность продукции определяется отсутствием прямых аналогов на российском рынке, связью изделия с конкретным треком и низким порогом входа для заказчика: тираж от нескольких десятков изделий под релиз или мероприятие не требует сложной подготовки производства. Изомальтовая основа выгодно отличает продукт от зарубежных шоколадных пластинок: она прозрачна, допускает яркие цвета, устойчива к температуре хранения и не содержит сахара [9, 10, 15].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Перспективы выпуска связаны с переходом от образцов к тиражам: в 2027 году планируется реализовать 1 850 изделий, в 2029 году — 7 600 изделий (раздел 5.3). Основные риски и меры по их снижению приведены в таблице 4.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4 – Основные риски проекта и меры по их снижению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1701"/>
        <w:gridCol w:w="4535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Риск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Вероятность / влияние</w:t>
            </w:r>
          </w:p>
        </w:tc>
        <w:tc>
          <w:tcPr>
            <w:tcW w:type="dxa" w:w="453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Меры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Запись рельефа канавок на изомальте не дает устойчивого воспроизведения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/ высокое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поэтапная отработка на итоговом составе; резервные составы с гуммиарабиком; промежуточный формат «пластинка-артефакт» с рельефом без воспроизведения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Сезонность спроса: релизы и фестивали весной и летом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высокая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подарочный сегмент в IV квартале; брендовые промо-акции; изготовление под заказ без запасов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Требования к пищевой продукции и маркировке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/ высокое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декларирование до начала продаж; только разрешенные добавки; программа производственного контроля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Копирование идеи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товарный знак; связка с промо-продуктом «Синестезия»; партнерства с артистами и площадками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Ручное производство и команда из одного человека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высокая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технолога и специалиста по продвижению; серийные формы и оборудование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Зависимость промо-продукта от внешних ИИ-сервисов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низкая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цепочка резервных моделей, кэш результатов, автоматические тесты перед выкладкой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2 АНАЛИЗ РЫНКА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2.1 Рынок виниловых пластинок и целевой сегмент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Виниловая пластинка переживает устойчивый рост интереса. По данным «Платформы ОФД», число покупок виниловых пластинок в России в 2025 году выросло на 15 % к 2024 году и на 32 % к 2023 году, средняя цена пластинки увеличилась на 13 % и составила 1 978 руб.; покупки проигрывателей выросли на 7 % при средней цене 26,7 тыс. руб.; две трети продаж виниловой атрибутики приходятся на онлайн-каналы [1, 2]. Производители отмечают рост объемов выпуска на 15–20 % в 2025 году [3]; фирма «Мелодия» возобновила выпуск пластинок на новом заводе в Новосибирске с планируемой мощностью более 100 тыс. пластинок в год [4]. Аудитория винила молодеет [2] и совпадает с аудиторией артистов, выпускающих релизы в стриминге. Показатели рынка приведены в таблице 5.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5 – Показатели рынка виниловых пластинок в России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535"/>
        <w:gridCol w:w="3118"/>
        <w:gridCol w:w="1701"/>
      </w:tblGrid>
      <w:tr>
        <w:trPr>
          <w:tblHeader/>
          <w:cantSplit/>
        </w:trPr>
        <w:tc>
          <w:tcPr>
            <w:tcW w:type="dxa" w:w="453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Показатель</w:t>
            </w:r>
          </w:p>
        </w:tc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Значение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Источник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числа покупок пластинок, 2025 к 2024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+15 %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[1, 2]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числа покупок пластинок, 2025 к 2023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+32 %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[1, 2]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цена пластинки, 2025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1 978 руб. (+13 %)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покупок проигрывателей, 2025 к 2024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+7 %; средняя цена 26,7 тыс. руб.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Доля онлайн-продаж виниловой атрибутики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около двух третей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производства пластинок в России, 2025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+15–20 %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[3]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Новый завод «Мелодии» (Новосибирск)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более 100 тыс. пластинок в год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[4]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Целевой сегмент проекта на этом рынке — не замена виниловой пластинке, а дополнение к релизу: коллекционный и подарочный объект, который покупают те же слушатели и заказывают те же артисты.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2.2 Рынок музыкального мерча и промо-продукции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Продукт относится к рынку мерча и промо-продукции, который по оценке Portobello составил 80–90 млрд руб. по итогам 2024 года с ростом 15–20 % за год [5]; рынок промоиндустрии в 2025 году оценивается примерно в 61 млрд руб., а ключевой тренд — кастомизация и креативные изделия, делающие базовый продукт уникальным [6]. Спрос со стороны музыкальной индустрии подтверждается ростом стриминга: выручка музыкальных стримингов в России в 2025 году выросла на 35,2 % и достигла 53,97 млрд руб. [7]. Фестивальная аудитория исчисляется сотнями тысяч: VK Fest 2025 прошел в пяти городах, собрал 205 тыс. гостей и 295 исполнителей [8]. Показатели приведены в таблице 6.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6 – Показатели рынка мерча, промо-продукции и музыкальной индустрии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969"/>
        <w:gridCol w:w="3685"/>
        <w:gridCol w:w="1701"/>
      </w:tblGrid>
      <w:tr>
        <w:trPr>
          <w:tblHeader/>
          <w:cantSplit/>
        </w:trPr>
        <w:tc>
          <w:tcPr>
            <w:tcW w:type="dxa" w:w="396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Рынок</w:t>
            </w:r>
          </w:p>
        </w:tc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Показатель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Корпоративный мерч и бизнес-подарки, 2024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80–90 млрд руб.; рост 15–20 % в год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[5]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Промоиндустрия, 2025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около 61 млрд руб.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[6]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Музыкальный стриминг, 2025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53,97 млрд руб.; рост 35,2 %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[7]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VK Fest 2025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205 тыс. гостей, 295 исполнителей, 5 городов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[8]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2.3 Оценка целевого сегмента и фазы развития спроса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Первичный целевой сегмент — независимые артисты и небольшие лейблы, выпускающие синглы и альбомы в стриминге: для них пластинка становится физическим артефактом релиза и поводом для публикаций. Вторичный сегмент — организаторы концертов и фестивалей, для которых продукт является мерчем с высокой маржой и вирусным потенциалом. Отдельно выделяются бренды с музыкальной тематикой и частные покупатели подарков (раздел 3.1).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Спрос на продукт находится в фазе формирования: формат новый, прямых предложений на рынке нет, поэтому спрос создается через демонстрацию продукта аудитории. Эту задачу решает промо-продукт «Синестезия»: слушатель бесплатно узнает цвет и вкус любимого трека и получает предложение заказать пластинку. Первые подтверждения интереса получены при совместном релизе с артисткой и при адресной работе с артистами [18].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2.4 Основные и потенциальные конкуренты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Прямых конкурентов в формате съедобной музыкальной пластинки на российском рынке не выявлено; конкуренция идет с товарами-заменителями в бюджете мерча и подарков (таблица 7). Зарубежные шоколадные пластинки показали интерес аудитории, но имели ограниченную проигрываемость (3–5 воспроизведений у издания Breakbot, около 12 у пластинок П. Лардонга) и выпускались единичными тиражами [9, 10].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7 – Сравнительный анализ конкурентов и товаров-заменителей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2835"/>
        <w:gridCol w:w="3402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Группа</w:t>
            </w:r>
          </w:p>
        </w:tc>
        <w:tc>
          <w:tcPr>
            <w:tcW w:type="dxa" w:w="283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Сильные стороны</w:t>
            </w:r>
          </w:p>
        </w:tc>
        <w:tc>
          <w:tcPr>
            <w:tcW w:type="dxa" w:w="3402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Слабые стороны относительно продукта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Виниловые пластинки (заводские тиражи)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полноценное воспроизведение, коллекционная ценность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высокая цена, большие минимальные тиражи, долгие сроки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Шоколадные пластинки (зарубежные опыты Breakbot, П. Лардонга)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новизна, вкус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термочувствительность, непрозрачность, единичный выпуск [9, 10]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Кондитерский мерч: леденцы и шоколад с логотипом, торты с печатью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дешево, массово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 связи с музыкой и треком, низкая коллекционная ценность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Текстильный мерч: футболки, худи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привычный формат, маржа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насыщенный рынок, нет эффекта «вкуса трека»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3 МАРКЕТИНГОВЫЙ ПЛАН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3.1 Конечные потребители продукции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Конечные потребители продукции и характер их спроса приведены в таблице 8.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8 – Целевые сегменты потребителей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3969"/>
        <w:gridCol w:w="3231"/>
      </w:tblGrid>
      <w:tr>
        <w:trPr>
          <w:tblHeader/>
          <w:cantSplit/>
        </w:trPr>
        <w:tc>
          <w:tcPr>
            <w:tcW w:type="dxa" w:w="215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Сегмент</w:t>
            </w:r>
          </w:p>
        </w:tc>
        <w:tc>
          <w:tcPr>
            <w:tcW w:type="dxa" w:w="396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Потребность</w:t>
            </w:r>
          </w:p>
        </w:tc>
        <w:tc>
          <w:tcPr>
            <w:tcW w:type="dxa" w:w="323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Характер спроса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Артисты и лейблы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физический объект релиза, контент для продвижения, мерч для фанатов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тиражи от 50 изделий Ø12 см под релиз; коллекционные Ø30 см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Фестивали и концерты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мерч мероприятия, лимитированные серии под хедлайнеров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сезонные серии от 300 изделий Ø12 см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Бренды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промо-акции и подарки клиентам с музыкальной тематикой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брендированные серии с этикеткой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Частные покупатели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подарок меломану: пластинка любимого трека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розничные заказы на сайте; пик в IV квартале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3.2 Конкурентные преимущества продукции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Конкурентные преимущества продукции: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единственный на российском рынке продукт формата «съедобная музыкальная пластинка»;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персонализация под трек: цвет, вкус и аромат пластинки задаются сенсорным портретом трека;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изомальтовая основа: прозрачность, яркие цвета, устойчивость к температуре, отсутствие сахара;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низкий порог входа: тираж от нескольких десятков изделий без сложной подготовки производства;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двойная ценность для артиста: коллекционный мерч и контент для продвижения релиза.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Сильные и слабые стороны проекта, возможности и угрозы сведены в таблице 9.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9 – SWOT-анализ проекта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649"/>
        <w:gridCol w:w="4706"/>
      </w:tblGrid>
      <w:tr>
        <w:trPr>
          <w:tblHeader/>
          <w:cantSplit/>
        </w:trPr>
        <w:tc>
          <w:tcPr>
            <w:tcW w:type="dxa" w:w="464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Сильные стороны</w:t>
            </w:r>
          </w:p>
        </w:tc>
        <w:tc>
          <w:tcPr>
            <w:tcW w:type="dxa" w:w="470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Слабые стороны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уникальный формат продукта; собственный канал привлечения аудитории; низкая себестоимость сырья; отработанный состав и технология; самостоятельная разработка сайта и сервиса</w:t>
            </w:r>
          </w:p>
        </w:tc>
        <w:tc>
          <w:tcPr>
            <w:tcW w:type="dxa" w:w="470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запись рельефа канавок еще не отработана; ручное производство малых серий; команда из одного человека; продукция не задекларирована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Возможности</w:t>
            </w:r>
          </w:p>
        </w:tc>
        <w:tc>
          <w:tcPr>
            <w:tcW w:type="dxa" w:w="470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Угрозы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рынка винила и мерча [1, 5]; интерес артистов к нестандартному контенту; фестивальный сезон; выход на маркетплейсы; партнерства с лейблами и площадками</w:t>
            </w:r>
          </w:p>
        </w:tc>
        <w:tc>
          <w:tcPr>
            <w:tcW w:type="dxa" w:w="47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сезонность музыкальной индустрии; появление подражателей; изменение требований к пищевой продукции; зависимость промо-продукта от внешних ИИ-сервисов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3.3 Планируемая доля рынка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Базовый сценарий предусматривает реализацию 1 850 изделий в 2027 году, 4 130 изделий в 2028 году и 7 600 изделий в 2029 году (раздел 5.3). Выручка 2029 года — 10,2 млн руб. — составляет сотые доли процента рынка мерча и промо-продукции [5, 6]; целевым ориентиром служит не доля всего рынка мерча, а лидерство в нише съедобного музыкального мерча, в которой на дату составления бизнес-плана прямых конкурентов нет.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3.4 Обоснование цены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Цены установлены с учетом себестоимости изделия, коллекционной ценности и цен на виниловые пластинки (средняя цена пластинки 1 978 руб. [1]). Ценовые ориентиры приведены в таблице 10, расчет себестоимости — в таблице 11. Средняя цена реализации с учетом структуры продаж принята в финансовом плане равной 1 100 руб. для Ø12 см и 4 200 руб. для Ø30 см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подтвердить цены]</w:t>
      </w:r>
      <w:r>
        <w:rPr>
          <w:rFonts w:ascii="Times New Roman" w:hAnsi="Times New Roman" w:eastAsia="Times New Roman" w:cs="Times New Roman"/>
          <w:sz w:val="28"/>
        </w:rPr>
        <w:t>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10 – Ценовые ориентиры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1644"/>
        <w:gridCol w:w="2494"/>
        <w:gridCol w:w="2098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Позиция</w:t>
            </w:r>
          </w:p>
        </w:tc>
        <w:tc>
          <w:tcPr>
            <w:tcW w:type="dxa" w:w="164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Розница, руб.</w:t>
            </w:r>
          </w:p>
        </w:tc>
        <w:tc>
          <w:tcPr>
            <w:tcW w:type="dxa" w:w="249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Тираж (B2B), руб./шт.</w:t>
            </w:r>
          </w:p>
        </w:tc>
        <w:tc>
          <w:tcPr>
            <w:tcW w:type="dxa" w:w="209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Минимальный тираж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Пластинка Ø12 см в подарочной коробке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1 490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990 (от 50 шт.)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 / 50 шт.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Пластинка Ø30 см (коллекционная)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4 900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3 900 (от 20 шт.)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 / 20 шт.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Фестивальная серия Ø12 см в пакете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—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690 (от 300 шт.)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300 шт.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Этикетка с портретом трека</w:t>
            </w:r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включено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включено</w:t>
            </w:r>
          </w:p>
        </w:tc>
        <w:tc>
          <w:tcPr>
            <w:tcW w:type="dxa" w:w="209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—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11 – Себестоимость изделия,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19"/>
        <w:gridCol w:w="2268"/>
        <w:gridCol w:w="2268"/>
      </w:tblGrid>
      <w:tr>
        <w:trPr>
          <w:tblHeader/>
          <w:cantSplit/>
        </w:trPr>
        <w:tc>
          <w:tcPr>
            <w:tcW w:type="dxa" w:w="481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Статья</w:t>
            </w:r>
          </w:p>
        </w:tc>
        <w:tc>
          <w:tcPr>
            <w:tcW w:type="dxa" w:w="226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Ø12 см в коробке</w:t>
            </w:r>
          </w:p>
        </w:tc>
        <w:tc>
          <w:tcPr>
            <w:tcW w:type="dxa" w:w="226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Ø30 см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Сырье по ценам закупки второго этапа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29,8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190,7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Упаковка: коробка, подложка, молоточек / пакет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144,0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250,0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Этикетка с портретом трека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30,0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Сдельная оплата труда (изготовление, упаковка)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150,0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400,0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Энергия, износ инвентаря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20,0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Итого переменные затраты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373,8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960,7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цена реализации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1 100,0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4 200,0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Маржинальный доход на изделие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726,2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3 239,3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3.5 План продвижения продукции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Схема каналов привлечения заказчиков показана на рисунке 2, роль каналов — в таблице 12. Основной канал — промо-продукт «Синестезия» [17]: бесплатный сервис определения цвета и вкуса трека с карточками для сторис и реферальной механикой приводит аудиторию без затрат на каждый контакт и завершается кнопкой заказа пластинки на сайте проекта [16].</w:t>
      </w:r>
    </w:p>
    <w:p>
      <w:pPr>
        <w:keepNext/>
        <w:spacing w:before="12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23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8"/>
        </w:rPr>
        <w:t>Рисунок 2 – Каналы привлечения заказчиков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12 – Каналы продвижения и их роль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948"/>
        <w:gridCol w:w="3855"/>
        <w:gridCol w:w="2551"/>
      </w:tblGrid>
      <w:tr>
        <w:trPr>
          <w:tblHeader/>
          <w:cantSplit/>
        </w:trPr>
        <w:tc>
          <w:tcPr>
            <w:tcW w:type="dxa" w:w="294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Канал</w:t>
            </w:r>
          </w:p>
        </w:tc>
        <w:tc>
          <w:tcPr>
            <w:tcW w:type="dxa" w:w="385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Роль</w:t>
            </w:r>
          </w:p>
        </w:tc>
        <w:tc>
          <w:tcPr>
            <w:tcW w:type="dxa" w:w="255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Промо-продукт «Синестезия»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вовлечение слушателей, карточки для сторис, переход к заказу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запущен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Адресная работа с артистами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персональные карточки трека под публикации о релизах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запущена в сентябре 2026 года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Контекстная реклама (Яндекс Директ)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приток аудитории на сервис и сайт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кампания с бюджетом 15 000 руб. продолжается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Наружная реклама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узнаваемость бренда в г. Москве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проведена: 6 дней, две улицы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Совместные релизы с артистами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продукт в реальном релизе, контент артиста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первый релиз с SavannaOki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Фестивали и мероприятия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мерч, дегустации, прямые продажи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план на сезон 2027 года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План маркетинговых мероприятий на 2027 год приведен в таблице 13; он учитывает сезонность музыкальной индустрии: релизы и фестивали концентрируются в весенне-летний период.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13 – План маркетинговых мероприятий на 2027 год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87"/>
        <w:gridCol w:w="5216"/>
        <w:gridCol w:w="2551"/>
      </w:tblGrid>
      <w:tr>
        <w:trPr>
          <w:tblHeader/>
          <w:cantSplit/>
        </w:trPr>
        <w:tc>
          <w:tcPr>
            <w:tcW w:type="dxa" w:w="158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Период</w:t>
            </w:r>
          </w:p>
        </w:tc>
        <w:tc>
          <w:tcPr>
            <w:tcW w:type="dxa" w:w="521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Мероприятия</w:t>
            </w:r>
          </w:p>
        </w:tc>
        <w:tc>
          <w:tcPr>
            <w:tcW w:type="dxa" w:w="255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 квартал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подведение итогов кампании в Яндекс Директ; доработка промо-продукта; 3–5 совместных релизов с артистами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первые тиражи B2B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 квартал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переговоры с организаторами фестивалей; подарочные наборы на сайте; публикации в социальных сетях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договоры на фестивальный мерч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III квартал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участие в музыкальных фестивалях: дегустации и продажи; совместные релизы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продажи на площадках, рост узнаваемости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IV квартал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подарочный сезон: наборы Ø12 см, партнерства с брендами, маркетплейсы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пик розничных продаж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3.6 Организация сбыта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Сбыт организуется по четырем каналам: прямые продажи тиражей артистам, лейблам и организаторам мероприятий по заявкам с сайта и из адресной работы; розничные заказы на сайте проекта с доставкой по г. Москве; продажи на фестивалях и концертах; с IV квартала 2027 года — маркетплейсы для подарочного сегмента. Тиражи изготавливаются под заказ по предоплате, что исключает складские запасы и кассовые разрывы по оборотному капиталу.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4 ОРГАНИЗАЦИОННЫЙ ПЛАН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4.1 Сведения о предприятии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Проект реализует общество с ограниченной ответственностью «Вкус Технологии» (ООО «Вкус Технологии»), зарегистрированное 01.11.2025: ИНН 9715518220, КПП 771501001, ОГРН 1257700482170, юридический адрес: 127276, г. Москва, ул. Ботаническая, д. 33, к. 6, кв. 34. Уставный капитал — 10 000 руб.; единственный участник (доля 100 %) и генеральный директор — Андреев Даниил Семенович. Основной вид деятельности по ОКВЭД — 10.82 «Производство какао, шоколада и сахаристых кондитерских изделий». Система налогообложения — АУСН «доходы минус расходы»; расчетный счет открыт в ООО «Банк Точка»; бухгалтерское и юридическое сопровождение выполняется специалистами на аутсорсинге.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4.2 Команда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Работы второго этапа выполнены генеральным директором. Планируемый состав команды приведен в таблице 14.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14 – Команда проекта и привлекаемые специалисты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3969"/>
        <w:gridCol w:w="2268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Роль</w:t>
            </w:r>
          </w:p>
        </w:tc>
        <w:tc>
          <w:tcPr>
            <w:tcW w:type="dxa" w:w="396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Функции</w:t>
            </w:r>
          </w:p>
        </w:tc>
        <w:tc>
          <w:tcPr>
            <w:tcW w:type="dxa" w:w="226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Генеральный директор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управление, разработка продукта, сайт и промо-продукт, продажи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Андреев Даниил Семенович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Технолог кондитерского производства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серийная рецептура, ХАССП, контроль качества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в 2027 году по договору ГПХ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Специалист по продвижению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контент, работа с артистами и фестивалями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в 2027 году по договору ГПХ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Бухгалтер, юрист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учет, отчетность, договоры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аутсорсинг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4.3 Календарный план мероприятий по развитию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Календарный план мероприятий по развитию проекта приведен в таблице 15; его выполнение будет уточняться по результатам отработки записи рельефа канавок в I квартале 2027 года.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15 – Календарный план мероприятий по развитию проекта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87"/>
        <w:gridCol w:w="5216"/>
        <w:gridCol w:w="2551"/>
      </w:tblGrid>
      <w:tr>
        <w:trPr>
          <w:tblHeader/>
          <w:cantSplit/>
        </w:trPr>
        <w:tc>
          <w:tcPr>
            <w:tcW w:type="dxa" w:w="158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Период</w:t>
            </w:r>
          </w:p>
        </w:tc>
        <w:tc>
          <w:tcPr>
            <w:tcW w:type="dxa" w:w="521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Мероприятия</w:t>
            </w:r>
          </w:p>
        </w:tc>
        <w:tc>
          <w:tcPr>
            <w:tcW w:type="dxa" w:w="255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IV кв. 2026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завершение договора гранта и итоговая отчетность; подготовка к отработке записи рельефа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итоги этапа приняты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 кв. 2027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отработка записи рельефа; закупка оборудования; декларирование продукции; заявка на товарный знак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право реализации продукции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 кв. 2027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первые тиражи под релизы артистов; подарочные наборы на сайте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первая выручка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III кв. 2027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фестивальные серии; дегустации на площадках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продажи в сезон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IV кв. 2027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подарочный сезон; маркетплейсы; партнерства с брендами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продаж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2028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второй комплект оборудования; расширение команды и площадки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4 130 изделий в год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2029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загрузка производственной площадки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7 600 изделий в год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5 ФИНАНСОВЫЙ ПЛАН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5.1 Объем финансирования проекта и его источники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Проект финансировался за счет гранта программы «Студенческий стартап»; развитие после завершения договора гранта финансируется за счет собственной выручки и беспроцентного займа учредителя на покрытие кассового разрыва в I квартале 2027 года. Объем и источники финансирования приведены в таблице 16.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16 – Объем и источники финансирования проекта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515"/>
        <w:gridCol w:w="1701"/>
        <w:gridCol w:w="1871"/>
        <w:gridCol w:w="2268"/>
      </w:tblGrid>
      <w:tr>
        <w:trPr>
          <w:tblHeader/>
          <w:cantSplit/>
        </w:trPr>
        <w:tc>
          <w:tcPr>
            <w:tcW w:type="dxa" w:w="351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Источник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Сумма, тыс. руб.</w:t>
            </w:r>
          </w:p>
        </w:tc>
        <w:tc>
          <w:tcPr>
            <w:tcW w:type="dxa" w:w="187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Период</w:t>
            </w:r>
          </w:p>
        </w:tc>
        <w:tc>
          <w:tcPr>
            <w:tcW w:type="dxa" w:w="226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Грант программы «Студенческий стартап» Фонда содействия инновациям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1 000,0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2025–2026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получен, освоен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Выручка от реализации продукции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18 286,0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2027–2029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план (раздел 5.3)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Заем учредителя (беспроцентный)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700,0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 (возврат — 2028)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планируется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Грантовые программы развития, в том числе «Старт-1» Фонда содействия инновациям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 условиям программы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2027–2028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потенциальный источник вне базового сценария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Частные инвестиции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после 2029 года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потенциально, вне базового сценария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5.2 Основные допущения финансового плана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Финансовый план составлен для базового сценария на 2027–2029 годы. Допущения финансовой модели приведены в таблице 17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подтвердить цены, объемы продаж и затраты]</w:t>
      </w:r>
      <w:r>
        <w:rPr>
          <w:rFonts w:ascii="Times New Roman" w:hAnsi="Times New Roman" w:eastAsia="Times New Roman" w:cs="Times New Roman"/>
          <w:sz w:val="28"/>
        </w:rPr>
        <w:t>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17 – Допущения финансовой модели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381"/>
        <w:gridCol w:w="3288"/>
        <w:gridCol w:w="3685"/>
      </w:tblGrid>
      <w:tr>
        <w:trPr>
          <w:tblHeader/>
          <w:cantSplit/>
        </w:trPr>
        <w:tc>
          <w:tcPr>
            <w:tcW w:type="dxa" w:w="238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Параметр</w:t>
            </w:r>
          </w:p>
        </w:tc>
        <w:tc>
          <w:tcPr>
            <w:tcW w:type="dxa" w:w="328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Принятое значение</w:t>
            </w:r>
          </w:p>
        </w:tc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Горизонт планирования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2027–2029 годы; 2027 и 2028 годы — поквартально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2026 год — завершение договора гранта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Средняя цена реализации Ø12 см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1 100 руб.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структура продаж: розница 1 490 руб., тиражи 990 руб., фестивальные серии 690 руб.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Средняя цена реализации Ø30 см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4 200 руб.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розница 4 900 руб., тиражи 3 900 руб.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Переменные затраты на изделие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 см — 374 руб.; Ø30 см — 961 руб.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сырье по ценам закупки второго этапа, упаковка, сдельный труд, энергия (таблица 11)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Объем продаж 2027 года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1 700 шт. Ø12 см; 150 шт. Ø30 см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первые тиражи, фестивальный и подарочный сезоны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Объем продаж 2028 года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3 800 шт. Ø12 см; 330 шт. Ø30 см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рост числа заказчиков, повторные тиражи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Объем продаж 2029 года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7 000 шт. Ø12 см; 600 шт. Ø30 см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загрузка производственной площадки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Постоянные затраты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1 510,0 / 1 920,0 / 3 000,0 тыс. руб. по годам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аренда, специалисты по договорам ГПХ, маркетинг, оборудование, сервисы, бухгалтерия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Налоговый режим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АУСН «доходы минус расходы»: 20 %, минимальный налог 3 % доходов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действующий режим общества; по кварталам — пропорционально доходам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Заем учредителя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 тыс. руб. в I кв. 2027 года; возврат во II кв. 2028 года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покрытие кассового разрыва до начала продаж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Порядок расчетов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поступление оплаты в квартале реализации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предоплата тиражей и заказов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Инфляция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не учитывается; цены 2026 года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сопоставимость плановых показателей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5.3 План продаж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План продаж на 2027–2029 годы приведен в таблице 18.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18 – План продаж на 2027–2029 годы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01"/>
        <w:gridCol w:w="1247"/>
        <w:gridCol w:w="1247"/>
        <w:gridCol w:w="1701"/>
        <w:gridCol w:w="1701"/>
        <w:gridCol w:w="1757"/>
      </w:tblGrid>
      <w:tr>
        <w:trPr>
          <w:tblHeader/>
          <w:cantSplit/>
        </w:trPr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Период</w:t>
            </w:r>
          </w:p>
        </w:tc>
        <w:tc>
          <w:tcPr>
            <w:tcW w:type="dxa" w:w="124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Ø12 см, шт.</w:t>
            </w:r>
          </w:p>
        </w:tc>
        <w:tc>
          <w:tcPr>
            <w:tcW w:type="dxa" w:w="124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Ø30 см, шт.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Выручка Ø12 см, тыс. руб.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Выручка Ø30 см, тыс. руб.</w:t>
            </w:r>
          </w:p>
        </w:tc>
        <w:tc>
          <w:tcPr>
            <w:tcW w:type="dxa" w:w="175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Выручка итого, тыс. руб.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 кв. 2027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110,0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42,0</w:t>
            </w:r>
          </w:p>
        </w:tc>
        <w:tc>
          <w:tcPr>
            <w:tcW w:type="dxa" w:w="175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152,0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II кв. 2027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330,0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126,0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456,0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III кв. 2027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880,0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252,0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1 132,0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IV кв. 2027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550,0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210,0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760,0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2027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1 700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150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1 870,0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630,0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2 500,0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 кв. 2028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440,0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126,0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566,0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II кв. 2028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880,0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294,0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1 174,0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III кв. 2028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1 600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1 760,0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546,0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2 306,0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IV кв. 2028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1 000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1 100,0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420,0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1 520,0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2028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3 800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330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4 180,0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1 386,0</w:t>
            </w:r>
          </w:p>
        </w:tc>
        <w:tc>
          <w:tcPr>
            <w:tcW w:type="dxa" w:w="175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2029 (год)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7 000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600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7 700,0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2 520,0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10 220,0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5.4 План доходов и расходов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План доходов и расходов на 2027 и 2028 годы по кварталам приведен в таблицах 19 и 20, сводный план на 2027–2029 годы — в таблице 21.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19 – План доходов и расходов на 2027 год,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685"/>
        <w:gridCol w:w="1134"/>
        <w:gridCol w:w="1134"/>
        <w:gridCol w:w="1134"/>
        <w:gridCol w:w="1134"/>
        <w:gridCol w:w="1134"/>
      </w:tblGrid>
      <w:tr>
        <w:trPr>
          <w:tblHeader/>
          <w:cantSplit/>
        </w:trPr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IV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Год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Ø12 см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110,0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330,0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880,0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550,0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1 870,0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Ø30 см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252,0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630,0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доходы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152,0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456,0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1 132,0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2 500,0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Переменные затраты: сырье, упаковка, сдельный труд, энергия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47,0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141,0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356,9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235,1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780,0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Аренда производственной площадки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240,0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Оплата специалистов по договорам ГПХ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Маркетинг и реклама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Оборудование для серийного изготовления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Декларирование и лабораторные испытания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Хостинг, домены, внешние сервисы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Бухгалтерское и юридическое сопровождение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Налог (АУСН)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22,7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расходы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786,6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404,7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665,9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507,8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2 365,0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Финансовый результат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−634,6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51,3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466,1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252,2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135,0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20 – План доходов и расходов на 2028 год,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685"/>
        <w:gridCol w:w="1134"/>
        <w:gridCol w:w="1134"/>
        <w:gridCol w:w="1134"/>
        <w:gridCol w:w="1134"/>
        <w:gridCol w:w="1134"/>
      </w:tblGrid>
      <w:tr>
        <w:trPr>
          <w:tblHeader/>
          <w:cantSplit/>
        </w:trPr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IV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Год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Ø12 см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440,0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880,0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1 760,0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1 100,0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4 180,0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Ø30 см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294,0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546,0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1 386,0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доходы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566,0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1 174,0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2 306,0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Переменные затраты: сырье, упаковка, сдельный труд, энергия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178,4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366,5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723,3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470,1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1 738,3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Аренда производственной площадки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Оплата специалистов по договорам ГПХ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720,0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Маркетинг и реклама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175,0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Оборудование для серийного изготовления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Декларирование и лабораторные испытания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Хостинг, домены, внешние сервисы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Бухгалтерское и юридическое сопровождение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Налог (АУСН)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38,8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80,5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158,1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104,1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381,5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расходы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822,2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877,0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1 361,4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979,2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4 039,8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Финансовый результат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−256,2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297,0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944,6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540,8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1 526,2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21 – Сводный план доходов и расходов на 2027–2029 годы,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1474"/>
        <w:gridCol w:w="1474"/>
        <w:gridCol w:w="1531"/>
      </w:tblGrid>
      <w:tr>
        <w:trPr>
          <w:tblHeader/>
          <w:cantSplit/>
        </w:trPr>
        <w:tc>
          <w:tcPr>
            <w:tcW w:type="dxa" w:w="487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2027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2028</w:t>
            </w:r>
          </w:p>
        </w:tc>
        <w:tc>
          <w:tcPr>
            <w:tcW w:type="dxa" w:w="153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2029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Доходы, в том числе: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2 500,0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10 220,0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Ø12 см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1 870,0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4 180,0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7 700,0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Ø30 см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630,0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1 386,0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2 520,0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Расходы, в том числе: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2 365,0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4 039,8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6 999,7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переменные затраты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780,0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1 738,3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3 194,6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аренда производственной площадки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240,0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480,0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оплата специалистов по договорам ГПХ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720,0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1 200,0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маркетинг и реклама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оборудование для серийного изготовления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декларирование и лабораторные испытания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хостинг, домены, внешние сервисы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бухгалтерское и юридическое сопровождение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налог (АУСН)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381,5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805,1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Финансовый результат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135,0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1 526,2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3 220,3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Финансовый результат нарастающим итогом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135,0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1 661,2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4 881,5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5.5 План денежных поступлений и выплат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План денежных поступлений и выплат на 2027 и 2028 годы по кварталам приведен в таблицах 22 и 23, сводный план — в таблице 24. Остаток денежных средств остается положительным во всех периодах планирования.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22 – План денежных поступлений и выплат на 2027 год,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685"/>
        <w:gridCol w:w="1134"/>
        <w:gridCol w:w="1134"/>
        <w:gridCol w:w="1134"/>
        <w:gridCol w:w="1134"/>
        <w:gridCol w:w="1134"/>
      </w:tblGrid>
      <w:tr>
        <w:trPr>
          <w:tblHeader/>
          <w:cantSplit/>
        </w:trPr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IV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Год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Остаток денежных средств на начало периода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65,4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116,7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582,8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Поступления от реализации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1 132,0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2 500,0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Заем учредителя (беспроцентный)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поступления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852,0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456,0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1 132,0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3 200,0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Операционные выплаты и налог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786,6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404,7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665,9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507,8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2 365,0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Возврат займа учредителя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выплаты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786,6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404,7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665,9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507,8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2 365,0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Сальдо денежных потоков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65,4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51,3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466,1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252,2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Остаток денежных средств на конец периода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65,4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116,7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582,8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835,0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835,0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23 – План денежных поступлений и выплат на 2028 год,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685"/>
        <w:gridCol w:w="1134"/>
        <w:gridCol w:w="1134"/>
        <w:gridCol w:w="1134"/>
        <w:gridCol w:w="1134"/>
        <w:gridCol w:w="1134"/>
      </w:tblGrid>
      <w:tr>
        <w:trPr>
          <w:tblHeader/>
          <w:cantSplit/>
        </w:trPr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IV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Год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Остаток денежных средств на начало периода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578,8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175,8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1 120,4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Поступления от реализации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566,0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1 174,0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2 306,0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1 520,0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5 566,0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Заем учредителя (беспроцентный)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поступления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566,0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1 174,0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2 306,0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Операционные выплаты и налог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822,2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877,0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1 361,4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979,2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4 039,8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Возврат займа учредителя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выплаты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822,2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1 577,0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1 361,4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979,2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4 739,8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Сальдо денежных потоков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−256,2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−403,0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944,6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540,8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826,2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Остаток денежных средств на конец периода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578,8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175,8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1 120,4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1 661,2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1 661,2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24 – Сводный план денежных поступлений и выплат на 2027–2029 годы,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1474"/>
        <w:gridCol w:w="1474"/>
        <w:gridCol w:w="1531"/>
      </w:tblGrid>
      <w:tr>
        <w:trPr>
          <w:tblHeader/>
          <w:cantSplit/>
        </w:trPr>
        <w:tc>
          <w:tcPr>
            <w:tcW w:type="dxa" w:w="487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2027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2028</w:t>
            </w:r>
          </w:p>
        </w:tc>
        <w:tc>
          <w:tcPr>
            <w:tcW w:type="dxa" w:w="153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2029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Остаток на начало года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1 661,2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Поступления от реализации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2 500,0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5 566,0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10 220,0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Заем учредителя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поступления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3 200,0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10 220,0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Операционные выплаты и налог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2 365,0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4 039,8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6 999,7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Возврат займа учредителя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выплаты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2 365,0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4 739,8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6 999,7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Сальдо денежных потоков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826,2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3 220,3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Остаток на конец года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835,0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1 661,2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4 881,5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5.6 Финансовые результаты и показатели эффективности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Финансовые результаты и показатели эффективности проекта приведены в таблице 25, динамика доходов, расходов и финансового результата — на рисунке 3.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25 – Финансовые результаты и показатели эффективности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1474"/>
        <w:gridCol w:w="1474"/>
        <w:gridCol w:w="1531"/>
      </w:tblGrid>
      <w:tr>
        <w:trPr>
          <w:tblHeader/>
          <w:cantSplit/>
        </w:trPr>
        <w:tc>
          <w:tcPr>
            <w:tcW w:type="dxa" w:w="487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2027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2028</w:t>
            </w:r>
          </w:p>
        </w:tc>
        <w:tc>
          <w:tcPr>
            <w:tcW w:type="dxa" w:w="153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2029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Выручка, тыс. руб.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2 500,0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5 566,0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10 220,0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Финансовый результат, тыс. руб.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135,0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1 526,2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3 220,3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Рентабельность продаж по финансовому результату, %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5,4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27,4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31,5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Финансовый результат нарастающим итогом, тыс. руб.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135,0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1 661,2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4 881,5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Остаток денежных средств на конец года, тыс. руб.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1 661,2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4 881,5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12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2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ynam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8"/>
        </w:rPr>
        <w:t>Рисунок 3 – Динамика доходов, расходов и финансового результата проекта в 2027–2029 годах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Выручка проекта возрастает с 2 500,0 тыс. руб. в 2027 году до 10 220,0 тыс. руб. в 2029 году; среднегодовой темп роста составляет около 102 %. Финансовый результат положителен с первого года продаж: 135,0 тыс. руб. в 2027 году, 1 526,2 тыс. руб. в 2028 году и 3 220,3 тыс. руб. в 2029 году. Точка безубыточности 2027 года — 2 294,8 тыс. руб. выручки, или 92 % плановой выручки года. Накопленный финансовый результат превышает сумму средств гранта в III квартале 2028 года.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5.7 Возможные источники финансирования дальнейшего развития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Дальнейшее развитие проекта планируется финансировать из следующих источников: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собственная выручка от реализации пластинок — основной источник со II квартала 2027 года;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беспроцентный заем учредителя — покрытие кассового разрыва в I квартале 2027 года с возвратом во II квартале 2028 года;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грантовые программы развития, в том числе «Старт-1» Фонда содействия инновациям, — для ускоренного создания производственного участка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планируется ли подача заявки]</w:t>
      </w:r>
      <w:r>
        <w:rPr>
          <w:rFonts w:ascii="Times New Roman" w:hAnsi="Times New Roman" w:eastAsia="Times New Roman" w:cs="Times New Roman"/>
          <w:sz w:val="28"/>
        </w:rPr>
        <w:t>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частные инвестиции — после 2029 года для масштабирования производства и выхода в новые регионы.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Банковское кредитование в базовом сценарии не планируется. Комбинация перечисленных источников обеспечивает финансирование базового сценария без критической зависимости от одного источника.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ПЕРЕЧЕНЬ ИСПОЛЬЗОВАННЫХ ИСТОЧНИКОВ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Спрос на виниловые пластинки в России взлетел на 15 % в 2025 году // 3DNews, 2026. URL: https://3dnews.ru/1137266/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Продажи виниловых пластинок в России выросли за два года на 32 % // Retail.ru, 22.02.2026. URL: https://www.retail.ru/news/prodazhi-vinilovykh-plastinok-v-rossii-vyrosli-za-dva-goda-na-32-22-fevralya-2026-274792/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Производство виниловых пластинок в России: оценки участников рынка // Коммерсантъ FM, 2026. URL: https://www.kommersant.ru/doc/8556506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«Мелодия» начнет производить в Новосибирске виниловые пластинки // Халва Медиа, 2025. URL: https://media.halvacard.ru/news/melodiya-nachnet-proizvodit-v-novosibirske-vinilovye-plastinki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Российский рынок мерча достигнет 80–90 млрд рублей // Sostav.ru, 2024. URL: https://www.sostav.ru/publication/rossijskij-rynok-mercha-dostignet-80-90-mlrd-rublej-72292.html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Мерч как отдельная бизнес-модель // Sostav.ru, 2025. URL: https://www.sostav.ru/publication/merch-kak-otdelnaya-biznes-model-85868.html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Выручка музыкальных стримингов в России выросла на 35 % в 2025 году // Sostav.ru, 2026. URL: https://www.sostav.ru/publication/vyruchka-muzykalnykh-strimingov-v-rossii-vyrosla-na-35-v-2025-godu-85687.html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VK Fest 2025 прошел в пяти городах, собрал 205 тысяч гостей и 295 артистов // MenToday, 2025. URL: https://www.mentoday.ru/life/note/vk-fest-2025-proshel-v-pyati-gorodah-sobral-205-tysyach-gostei-i-295-artistov/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Chocolate Record Woos Your Tastebuds and Destroys Your Needles // Gizmodo, 2012. URL: https://gizmodo.com/5945373/chocolate-record-woos-your-tastebuds-and-destroys-your-needles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After listening to music you can enjoy eating «chocolate record» // Gigazine, 2011. URL: https://gigazine.net/gsc_news/en/20110713_playable_chocolate_record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Технический регламент Таможенного союза ТР ТС 021/2011 «О безопасности пищевой продукции»;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Технический регламент Таможенного союза ТР ТС 022/2011 «Пищевая продукция в части ее маркировки»;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Технический регламент Таможенного союза ТР ТС 029/2012 «Требования безопасности пищевых добавок, ароматизаторов и технологических вспомогательных средств»;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ГОСТ 5289-94 «Грампластинки аналоговые. Общие технические условия»;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Isomalt. Технические материалы производителя BENEO GmbH. URL: https://www.beneo.com/ingredients/human-nutrition/functional-carbohydrates/isomalt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Сайт стартап-проекта «Вкусноты». URL: https://вкусноты.рф/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Промо-продукт «Синестезия» («Вкусный трек»). URL: https://вкусныйтрек.рф/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 xml:space="preserve">Отчет о выполнении работ по второму этапу договора о предоставлении гранта № 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sz w:val="28"/>
        </w:rPr>
        <w:t xml:space="preserve"> от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sz w:val="28"/>
        </w:rPr>
        <w:t xml:space="preserve"> / ООО «Вкус Технологии». Москва, 2026.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8"/>
          <w:szCs w:val="28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/>
        <w:sz w:val="28"/>
        <w:szCs w:val="28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069" w:hanging="360"/>
      </w:pPr>
      <w:rPr>
        <w:rFonts w:ascii="Times New Roman" w:hAnsi="Times New Roman" w:cs="Times New Roman"/>
        <w:sz w:val="28"/>
        <w:szCs w:val="28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  <w:num w:numId="102">
    <w:abstractNumId w:val="9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709" w:left="0"/>
      <w:jc w:val="both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Бизнес-план проекта «Вкусноты»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