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Разовый договор поставки материально-технических ресурсов № 45/2026-ПСТ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г. Воронеж                                                                                    15 марта 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ООО «Черноземье-Снаб», в лице Генерального директора Иванова Алексея Петровича, действующего на основании Устава, с одной стороны, именуемое в дальнейшем «Покупатель», и АО «ПромТехПоставка», именуемое в дальнейшем «Поставщик», в лице Директора по продажам Смирнова Дмитрия Николаевича, действующего на основании Доверенности № 12/26 от 11.01.2026 г., с другой стороны, вместе именуемые «Стороны», заключили настоящий Договор (именуемый в дальнейшем «Договор») о нижеследующем: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  <w:b w:val="false"/>
          <w:bCs w:val="false"/>
        </w:rPr>
      </w:pPr>
      <w:bookmarkStart w:id="0" w:name="p-rc_c84bbae530ab83f6-277"/>
      <w:bookmarkEnd w:id="0"/>
      <w:r>
        <w:rPr>
          <w:rFonts w:ascii="Google Sans Text;sans-serif" w:hAnsi="Google Sans Text;sans-serif"/>
          <w:b w:val="false"/>
          <w:bCs w:val="false"/>
        </w:rPr>
        <w:t>Предмет Договора</w:t>
      </w:r>
      <w:r>
        <w:rPr>
          <w:rFonts w:ascii="Google Sans;sans-serif" w:hAnsi="Google Sans;sans-serif"/>
          <w:b w:val="false"/>
          <w:bCs w:val="false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Поставщик обязуется передать в собственность Покупателям материально-технические ресурсы (далее – «Товар») по номенклатуре, качеству, в количестве, по ценам и срокам поставки согласно условиям настоящего Договора, Приложений к нему (в дальнейшем «Приложения»), а Покупатель принять и оплатить Товар за поставку Товара в его адрес. Поставщик гарантирует, что поставляемый Товар свободен от любых прав третьих лиц, не заложен, под запретом или арестом не состоит. В случае поставки Товара иностранного производства Поставщик гарантирует, что передаваемый по настоящему Договору Товар выпущен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Товара. Покупатель не несет ответственности за таможенное оформление Товара и за уплату таможенных платежей. Поставщик гарантирует Покупателям, что поставленный им Товар не нарушает интеллектуальных прав третьих лиц (прав на товарные знаки, изобретения и т.д.). В случае, если Покупателям в связи с Товаром Поставщика третьими лицами будут предъявлены какие-либо претензии и/или иски, основанные на нарушении их интеллектуальных прав. Поставщик обязан урегулировать такие претензии и/или иски за свой счет и возместить все расходы и иные убытки, понесенные Покупателями.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Цена Товара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Цена определяется в соответствии с Приложением № 1 к Договору. В течение срока действия договора цена на Товар изменению не подлежит. Расходы по перевозке Товара, а также прочие расходы, отдельно не указанные в Приложении №1, включены в цену Товара и возмещению не подлежат. При увеличении отпускной цены производителя, иных лиц и (или) транспортных тарифов, Поставщик обязуется поставить Товар по цене, зафиксированной в Приложении № 1. Стоимость Договора составляет 1 250 000 (один миллион двести пятьдесят тысяч) руб., кроме того НДС по ставке, установленной действующим законодательством Российской Федерации.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  <w:b w:val="false"/>
          <w:bCs w:val="false"/>
        </w:rPr>
      </w:pPr>
      <w:bookmarkStart w:id="1" w:name="p-rc_c84bbae530ab83f6-278"/>
      <w:bookmarkEnd w:id="1"/>
      <w:r>
        <w:rPr>
          <w:rFonts w:ascii="Google Sans Text;sans-serif" w:hAnsi="Google Sans Text;sans-serif"/>
          <w:b w:val="false"/>
          <w:bCs w:val="false"/>
        </w:rPr>
        <w:t>Качество, количество и упаковка Товара</w:t>
      </w:r>
      <w:r>
        <w:rPr>
          <w:rFonts w:ascii="Google Sans;sans-serif" w:hAnsi="Google Sans;sans-serif"/>
          <w:b w:val="false"/>
          <w:bCs w:val="false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Качество Товара должно соответствовать ГОСТу, ТУ или другим общепринятым стандартам качества, а также прочим требованиям Покупателя (опросным листам, техническому заданию) на данный вид Товара, которые указаны в Приложении № 1. Подписывая Договор Поставщик подтверждает, что он тщательно изучил и проверил требования Покупателя и не имеет претензий к их полноте и качеству. Поставщик подтверждает, что информации, содержащейся в Приложении № 1, достаточно для изготовления и поставки Товара и что он учел всю информацию, имеющую значение для определения сроков поставки, стоимости и качества Товара. Качество Товара должно быть подтверждено сертификатом качества (соответствия) производителя. Используемые в Товаре (комплекте) узлы и комплектующие детали должны быть новыми, не бывшими в эксплуатации. Товар (комплект) и все его узлы и комплектующие детали не должны иметь наработки, не должны быть предметом переработки. В случае указания в Приложении № 1 к Договору, что Товар должен быть изготовлен не ранее определенного срока, это требование относится ко всему Товару. В случае, если в соответствующем Приложении согласовано условие о конкретном производителе поставляемого Товара, качество Товара должно быть подтверждено сертификатом качества (соответствия) такого производителя. Поставка Товара иного производителя в таком случае не допускается. Изменение условия о производителе Товара должно быть согласовано Сторонами и совершено в письменной форме в установленном Договором порядке. Поставщик обязуется поставлять Товар, изготовленный не ранее чем 6 месяцев до момента отгрузки Покупателю. Номенклатура Товара определяется в Приложении № 1 к Договору. Количество Товара определяется в Приложении № 1 к Договору. Покупатель не имеет права изменить общее количество поставляемого по Договору Товара. Товар должен отгружаться в упаковке, обеспечивающей сохранность перевозимого Товара во время транспортировки с учетом возможной многократной перевалки в пути, кроме того его хранения в течение срока не менее чем установленный на Товар гарантийный срок. Если Товар поставляется в контейнере, то Товар должен быть упакован таким образом, чтобы он не мог перемещаться внутри контейнера при изменении его положения. Места, требующие специального обращения, должны иметь дополнительную маркировку манипуляционными знаками: "Осторожно", "Верх", "Не кантовать" и т.д. В случае, если единица Товара состоит из нескольких мест, каждое место должно содержать соответствующую маркировку. В случае если единица Товара состоит из нескольких мест, маркировка каждого места должна содержать следующие обозначения: Поставщик, Покупатель, контактный телефон Поставщика, № и дата Договора, № и дата договора, № места, количество мест, наименование Товара согласно комплектовочной ведомости и накладной ТОРГ-12 или универсального передаточного документа (УПД), особые отметки. Поставщик несет ответственность перед Покупателем за повреждение или порчу Товара вследствие ненадлежащей упаковки и маркировки. Поставщик обязуется обеспечить крепление Товара в транспортном средстве способом, исключающим порчу Товара при транспортировке и осуществлении перегрузок в пути. Поставщик обязуется в сроки, предусмотренные настоящим Договором и Приложениями к нему, но в любом случае не позднее даты прибытия Товара в пункт назначения, передать Покупателю все необходимые документы, относящиеся к Товару, отсутствие которых не позволяет осуществлять приемку и/или монтаж и/или эксплуатацию и/или дальнейшую передачу Товара третьим лицам и/или иные действия в отношении Товара, и перечень которых установлен в п. 8.1. Договора. В случае выявления отсутствия указанных документов, Покупатель вправе не осуществлять приемку Товара и, поместив Товар на ответственное хранение, потребовать предоставить такие документы в течение 5-ти дней с даты получения Поставщиком соответствующего уведомления Покупателя. В случае, если документы не будут предоставлены в указанный срок, Покупатель имеет право в соответствии со ст. 464 ГК РФ отказаться от Товара. Не предоставление указанных документов приравнивается к поставке некомплектного Товара и обязательства Поставщика по поставке Товара считаются неисполненными. В случае помещения Товара на ответственное хранение в связи с отсутствием указанных документов, право собственности на Товар не переходит к Покупателю в момент, предусмотренный Договором или соответствующей Отгрузочной разнарядкой. В этом случае право собственности на Товар перейдет к Покупателю с даты предоставления всех документов, предусмотренных Договором, либо с даты приемки Товара, если Покупатель воспользуется правом осуществить приемку Товара до получения указанных документов. Возмещение Поставщиком расходов Покупателя, понесенных в связи с принятием Товара на ответственное хранение, не освобождает Поставщика от уплаты неустойки за просрочку поставки Товара. В целях фиксации факта исполнения обязательства по предоставлению документов, документы должны быть предоставлены посредством ЭДО либо по адресу Покупателя Товара вместе с Актом приема-передачи документов, подписанным уполномоченным представителем Поставщика. В случае, когда документы направлены по адресу Покупателя, копии документов и Акта приема-передачи документов должны быть направлены Покупателю посредством электронной почты/факсимильной связи Покупателю не позднее дня отправки оригиналов документов. 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  <w:i/>
        </w:rPr>
        <w:t>(Текст разделов 4–15 полностью соответствует исходному документу)</w:t>
      </w:r>
      <w:r>
        <w:rPr>
          <w:rFonts w:ascii="Google Sans Text;sans-serif" w:hAnsi="Google Sans Text;sans-serif"/>
          <w:b w:val="false"/>
          <w:bCs w:val="false"/>
        </w:rPr>
        <w:t xml:space="preserve"> </w:t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spacing w:lineRule="auto" w:line="274" w:before="0" w:after="120"/>
        <w:ind w:hanging="0" w:start="0" w:end="0"/>
        <w:rPr>
          <w:rFonts w:ascii="Google Sans;sans-serif" w:hAnsi="Google Sans;sans-serif"/>
          <w:b w:val="false"/>
          <w:bCs w:val="false"/>
        </w:rPr>
      </w:pPr>
      <w:bookmarkStart w:id="2" w:name="p-rc_c84bbae530ab83f6-280"/>
      <w:bookmarkEnd w:id="2"/>
      <w:r>
        <w:rPr>
          <w:rFonts w:ascii="Google Sans Text;sans-serif" w:hAnsi="Google Sans Text;sans-serif"/>
          <w:b w:val="false"/>
          <w:bCs w:val="false"/>
        </w:rPr>
        <w:t>Электронный документооборот (раздел 16)</w:t>
      </w:r>
      <w:r>
        <w:rPr>
          <w:rFonts w:ascii="Google Sans;sans-serif" w:hAnsi="Google Sans;sans-serif"/>
          <w:b w:val="false"/>
          <w:bCs w:val="false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  <w:i/>
        </w:rPr>
        <w:t>(пункты 16.1–16.5 соответствуют тексту исходного документа)</w:t>
      </w:r>
      <w:r>
        <w:rPr>
          <w:rFonts w:ascii="Google Sans Text;sans-serif" w:hAnsi="Google Sans Text;sans-serif"/>
          <w:b w:val="false"/>
          <w:bCs w:val="false"/>
        </w:rPr>
        <w:t xml:space="preserve"> </w:t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16.6. Стороны согласились осуществлять ЭДО через следующих Операторов ЭДО: 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Сторона 1 – ООО «Компания «Тензор», ИНН 7605016030, действующая на основании свидетельства № 002785402 на основании Решения Комиссии по регулированию деятельности в Сети доверенных ОЭД ФНС России № 1 от 26 сентября 2018 года, регистрационный номер паспорта 1818, Идентификатор доверенного ОЭД 2ВЕ и являющейся действующим аккредитованных Удостоверяющим центром, обеспечивающей обмен информацией по телекоммуникационным каналам связи и фиксирующим факт и дату направления и получения информации в рамках электронного документооборота компании;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 w:val="false"/>
          <w:bCs w:val="false"/>
        </w:rPr>
        <w:t xml:space="preserve">Сторона 2 – наименование ООО «СКБ Контур», ИНН 6663003127, Свидетельство № 001482930, № Решения № 3 от 14 октября 2018 г., Идентификатор ОЭД 2BM. Перечень аккредитованных УЦ указан на сайте ФНС России </w:t>
      </w:r>
      <w:hyperlink r:id="rId2" w:tgtFrame="_blank">
        <w:r>
          <w:rPr>
            <w:rStyle w:val="Hyperlink"/>
            <w:rFonts w:ascii="Google Sans Text;sans-serif" w:hAnsi="Google Sans Text;sans-serif"/>
            <w:b w:val="false"/>
            <w:bCs w:val="false"/>
          </w:rPr>
          <w:t>https://digital.gov.ru/ru/activity/govservices/2/</w:t>
        </w:r>
      </w:hyperlink>
      <w:r>
        <w:rPr>
          <w:rFonts w:ascii="Google Sans Text;sans-serif" w:hAnsi="Google Sans Text;sans-serif"/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i/>
        </w:rPr>
      </w:pPr>
      <w:r>
        <w:rPr>
          <w:rFonts w:ascii="Google Sans Text;sans-serif" w:hAnsi="Google Sans Text;sans-serif"/>
          <w:b w:val="false"/>
          <w:bCs w:val="false"/>
          <w:i/>
        </w:rPr>
        <w:t>(пункты 16.7–16.18 соответствуют тексту исходного документа)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Прочие условия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Настоящий Договор составлен в письменной форме в 2 (двух) подлинных экземплярах, имеющих равную юридическую силу, по одному экземпляру для Покупателя и Поставщика. 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Контактная информация представителей Сторон: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01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413"/>
        <w:gridCol w:w="4603"/>
      </w:tblGrid>
      <w:tr>
        <w:trPr>
          <w:tblHeader w:val="true"/>
        </w:trPr>
        <w:tc>
          <w:tcPr>
            <w:tcW w:w="4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Покупателя: DOCX</w:t>
            </w:r>
          </w:p>
        </w:tc>
        <w:tc>
          <w:tcPr>
            <w:tcW w:w="4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Поставщика: DOCX</w:t>
            </w:r>
          </w:p>
        </w:tc>
      </w:tr>
      <w:tr>
        <w:trPr/>
        <w:tc>
          <w:tcPr>
            <w:tcW w:w="441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ФИО: Иванов Алексей Петрович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Должность: Генеральный директор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Тел.: +7 (473) 210-44-55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E-mail: info@chernozem-snab.ru </w:t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60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ФИО: Смирнов Дмитрий Николаевич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Должность: Директор по продажам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Тел.: +7 (495) 789-33-22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E-mail: sales@promtechpostavka.ru </w:t>
            </w:r>
          </w:p>
          <w:p>
            <w:pPr>
              <w:pStyle w:val="Style15"/>
              <w:bidi w:val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Реквизиты Сторон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5645"/>
        <w:gridCol w:w="3993"/>
      </w:tblGrid>
      <w:tr>
        <w:trPr>
          <w:tblHeader w:val="true"/>
        </w:trPr>
        <w:tc>
          <w:tcPr>
            <w:tcW w:w="56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Покупатель: DOCX</w:t>
            </w:r>
          </w:p>
        </w:tc>
        <w:tc>
          <w:tcPr>
            <w:tcW w:w="3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Поставщик: DOCX</w:t>
            </w:r>
          </w:p>
        </w:tc>
      </w:tr>
      <w:tr>
        <w:trPr/>
        <w:tc>
          <w:tcPr>
            <w:tcW w:w="56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ООО «Черноземье-Снаб»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Адрес места нахождения и почтовый адрес: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394036, г. Воронеж, ул. Кольцовская, д. 46, офис 302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т. (473) 210-44-55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факс (473) 210-44-56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e-mail: info@chernozem-snab.ru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ОГРН: 1153668045120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ИНН: 3666201480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КПП: 366601001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Р/счет №: 40702810413000012345 в Центрально-Черноземном банке ПАО Сбербанк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БИК: 042007681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К/счет: 30101810600000000681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ОКПО: 98765432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ОКВЭД: 46.90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  <w:br/>
            </w:r>
          </w:p>
          <w:p>
            <w:pPr>
              <w:pStyle w:val="Style15"/>
              <w:bidi w:val="0"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Генеральный директор ООО «Черноземье-Снаб»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__________________ / А. П. Иванов /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М.П. </w:t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99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АО «ПромТехПоставка»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Адрес места нахождения и почтовый адрес: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127015, г. Москва, ул. Новодмитровская, д. 2, корп. 1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т. (495) 789-33-22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факс (495) 789-33-23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e-mail: sales@promtechpostavka.ru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ОГРН: 1087746112233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ИНН: 7715789012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КПП: 771501001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Р/счет №: 40702810938000056789 в АО «АЛЬФА-БАНК»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БИК: 044525593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К/счет: 30101810200000000593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ОКПО: 12345678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ОКВЭД: 46.69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  <w:br/>
            </w:r>
          </w:p>
          <w:p>
            <w:pPr>
              <w:pStyle w:val="Style15"/>
              <w:bidi w:val="0"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Директор по продажам АО «ПромТехПоставка»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br/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__________________ / Д. Н. Смирнов / 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М.П. </w:t>
            </w:r>
          </w:p>
          <w:p>
            <w:pPr>
              <w:pStyle w:val="Style15"/>
              <w:bidi w:val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Приложение № 1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к разовому договору поставки материально-технических ресурсов № 45/2026-ПСТ от 15.03.2026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г. Воронеж                                                                                    15 марта 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ООО «Черноземье-Снаб», в лице Генерального директора Иванова Алексея Петровича, действующего на основании Устава, с одной стороны, именуемое в дальнейшем «Покупатель», и АО «ПромТехПоставка», именуемое в дальнейшем «Поставщик», в лице Директора по продажам Смирнова Дмитрия Николаевича, действующего на основании Доверенности № 12/26 от 11.01.2026 г., с другой стороны, вместе именуемые «Стороны», заключили настоящее Приложение № 1 о нижеследующем: 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РЕЕСТР ЦЕН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1377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47"/>
        <w:gridCol w:w="1988"/>
        <w:gridCol w:w="2311"/>
        <w:gridCol w:w="856"/>
        <w:gridCol w:w="934"/>
        <w:gridCol w:w="786"/>
        <w:gridCol w:w="859"/>
        <w:gridCol w:w="1796"/>
        <w:gridCol w:w="1162"/>
        <w:gridCol w:w="2139"/>
      </w:tblGrid>
      <w:tr>
        <w:trPr>
          <w:tblHeader w:val="true"/>
        </w:trPr>
        <w:tc>
          <w:tcPr>
            <w:tcW w:w="9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b w:val="false"/>
                <w:bCs w:val="false"/>
              </w:rPr>
              <w:t xml:space="preserve">№ </w:t>
            </w: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п/п DOCX</w:t>
            </w:r>
          </w:p>
        </w:tc>
        <w:tc>
          <w:tcPr>
            <w:tcW w:w="19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Наименование Товара DOCX</w:t>
            </w:r>
          </w:p>
        </w:tc>
        <w:tc>
          <w:tcPr>
            <w:tcW w:w="231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Номенклатурный номер DOCX</w:t>
            </w:r>
          </w:p>
        </w:tc>
        <w:tc>
          <w:tcPr>
            <w:tcW w:w="8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Цена за 1 ед. (руб.), без НДС* DOCX</w:t>
            </w:r>
          </w:p>
        </w:tc>
        <w:tc>
          <w:tcPr>
            <w:tcW w:w="9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Кол-во DOCX</w:t>
            </w:r>
          </w:p>
        </w:tc>
        <w:tc>
          <w:tcPr>
            <w:tcW w:w="7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ЕИ DOCX</w:t>
            </w:r>
          </w:p>
        </w:tc>
        <w:tc>
          <w:tcPr>
            <w:tcW w:w="8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Итого (руб.) DOCX</w:t>
            </w:r>
          </w:p>
        </w:tc>
        <w:tc>
          <w:tcPr>
            <w:tcW w:w="17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Гарантийный срок DOCX</w:t>
            </w:r>
          </w:p>
        </w:tc>
        <w:tc>
          <w:tcPr>
            <w:tcW w:w="11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Примеч. (ТЗ) DOCX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Страна происхождения DOCX</w:t>
            </w:r>
          </w:p>
        </w:tc>
      </w:tr>
      <w:tr>
        <w:trPr/>
        <w:tc>
          <w:tcPr>
            <w:tcW w:w="9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1</w:t>
            </w:r>
          </w:p>
        </w:tc>
        <w:tc>
          <w:tcPr>
            <w:tcW w:w="19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Задвижка стальная 30с41нж ДУ100 РУ16</w:t>
            </w:r>
          </w:p>
        </w:tc>
        <w:tc>
          <w:tcPr>
            <w:tcW w:w="231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ЗДВ-100-16</w:t>
            </w:r>
          </w:p>
        </w:tc>
        <w:tc>
          <w:tcPr>
            <w:tcW w:w="8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18 500.00</w:t>
            </w:r>
          </w:p>
        </w:tc>
        <w:tc>
          <w:tcPr>
            <w:tcW w:w="9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20</w:t>
            </w:r>
          </w:p>
        </w:tc>
        <w:tc>
          <w:tcPr>
            <w:tcW w:w="7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шт.</w:t>
            </w:r>
          </w:p>
        </w:tc>
        <w:tc>
          <w:tcPr>
            <w:tcW w:w="8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370 000.00</w:t>
            </w:r>
          </w:p>
        </w:tc>
        <w:tc>
          <w:tcPr>
            <w:tcW w:w="17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24 мес.</w:t>
            </w:r>
          </w:p>
        </w:tc>
        <w:tc>
          <w:tcPr>
            <w:tcW w:w="11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ТЗ № 1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Россия </w:t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9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2</w:t>
            </w:r>
          </w:p>
        </w:tc>
        <w:tc>
          <w:tcPr>
            <w:tcW w:w="19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Насос консольный К 80-50-200</w:t>
            </w:r>
          </w:p>
        </w:tc>
        <w:tc>
          <w:tcPr>
            <w:tcW w:w="231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НСС-80-200</w:t>
            </w:r>
          </w:p>
        </w:tc>
        <w:tc>
          <w:tcPr>
            <w:tcW w:w="8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125 000.00</w:t>
            </w:r>
          </w:p>
        </w:tc>
        <w:tc>
          <w:tcPr>
            <w:tcW w:w="9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4</w:t>
            </w:r>
          </w:p>
        </w:tc>
        <w:tc>
          <w:tcPr>
            <w:tcW w:w="7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шт.</w:t>
            </w:r>
          </w:p>
        </w:tc>
        <w:tc>
          <w:tcPr>
            <w:tcW w:w="8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500 000.00</w:t>
            </w:r>
          </w:p>
        </w:tc>
        <w:tc>
          <w:tcPr>
            <w:tcW w:w="17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12 мес.</w:t>
            </w:r>
          </w:p>
        </w:tc>
        <w:tc>
          <w:tcPr>
            <w:tcW w:w="11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ТЗ № 2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Россия </w:t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9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3</w:t>
            </w:r>
          </w:p>
        </w:tc>
        <w:tc>
          <w:tcPr>
            <w:tcW w:w="19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Кабель силовой ВВГнг-LS 4х25</w:t>
            </w:r>
          </w:p>
        </w:tc>
        <w:tc>
          <w:tcPr>
            <w:tcW w:w="231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КБЛ-425-LS</w:t>
            </w:r>
          </w:p>
        </w:tc>
        <w:tc>
          <w:tcPr>
            <w:tcW w:w="8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760.00</w:t>
            </w:r>
          </w:p>
        </w:tc>
        <w:tc>
          <w:tcPr>
            <w:tcW w:w="9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500</w:t>
            </w:r>
          </w:p>
        </w:tc>
        <w:tc>
          <w:tcPr>
            <w:tcW w:w="7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м</w:t>
            </w:r>
          </w:p>
        </w:tc>
        <w:tc>
          <w:tcPr>
            <w:tcW w:w="8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380 000.00</w:t>
            </w:r>
          </w:p>
        </w:tc>
        <w:tc>
          <w:tcPr>
            <w:tcW w:w="17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36 мес.</w:t>
            </w:r>
          </w:p>
        </w:tc>
        <w:tc>
          <w:tcPr>
            <w:tcW w:w="11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ГОСТ 31996-2012</w:t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 xml:space="preserve">Россия </w:t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9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ИТОГО: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9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231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8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93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7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8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1 250 000.00</w:t>
            </w:r>
          </w:p>
        </w:tc>
        <w:tc>
          <w:tcPr>
            <w:tcW w:w="17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116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  <w:tc>
          <w:tcPr>
            <w:tcW w:w="21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rPr>
                <w:b w:val="false"/>
                <w:bCs w:val="false"/>
                <w:sz w:val="4"/>
                <w:szCs w:val="4"/>
              </w:rPr>
            </w:pPr>
            <w:r>
              <w:rPr>
                <w:b w:val="false"/>
                <w:bCs w:val="false"/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i/>
        </w:rPr>
      </w:pPr>
      <w:r>
        <w:rPr>
          <w:rFonts w:ascii="Google Sans Text;sans-serif" w:hAnsi="Google Sans Text;sans-serif"/>
          <w:b w:val="false"/>
          <w:bCs w:val="false"/>
          <w:i/>
        </w:rPr>
        <w:t>* кроме того НДС по ставке, установленной действующим законодательством Российской Федерации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Условия поставки: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Поставка осуществляется автотранспортом Поставщика до склада Покупателя.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Срок поставки — в течение 20 календарных дней с момента подписания Договора.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В комплект поставки входят паспорта изделий и сертификаты соответствия.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Возможные Базисы поставки: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Склад Покупателя: г. Воронеж, ул. Базовая, д. 10.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Склад Поставщика: г. Москва, ул. Промышленная, д. 15.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tbl>
      <w:tblPr>
        <w:tblW w:w="649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339"/>
        <w:gridCol w:w="3153"/>
      </w:tblGrid>
      <w:tr>
        <w:trPr>
          <w:tblHeader w:val="true"/>
        </w:trPr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Поставщика: DOCX</w:t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Покупателя: DOCX</w:t>
            </w:r>
          </w:p>
        </w:tc>
      </w:tr>
      <w:tr>
        <w:trPr/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Д. Н. Смирнов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А. П. Иванов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Приложение № 2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к разовому договору поставки материально-технических ресурсов № 45/2026-ПСТ от 15.03.2026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г. Воронеж                                                                                    15 марта 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ООО «Черноземье-Снаб», в лице Генерального директора Иванова Алексея Петровича, действующего на основании Устава, с одной стороны, именуемое в дальнейшем «Покупатель», и АО «ПромТехПоставка», именуемое в дальнейшем «Поставщик», в лице Директора по продажам Смирнова Дмитрия Николаевича, действующего на основании Доверенности № 12/26 от 11.01.2026 г., с другой стороны, вместе именуемые «Стороны», заключили настоящее Приложение № 2 о нижеследующем: 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Антикоррупционная оговорка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i/>
        </w:rPr>
      </w:pPr>
      <w:r>
        <w:rPr>
          <w:rFonts w:ascii="Google Sans Text;sans-serif" w:hAnsi="Google Sans Text;sans-serif"/>
          <w:b w:val="false"/>
          <w:bCs w:val="false"/>
          <w:i/>
        </w:rPr>
        <w:t>(Текст условий антикоррупционной оговорки полностью сохраняется из исходного шаблона)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649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339"/>
        <w:gridCol w:w="3153"/>
      </w:tblGrid>
      <w:tr>
        <w:trPr>
          <w:tblHeader w:val="true"/>
        </w:trPr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Поставщика: DOCX</w:t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Покупателя: DOCX</w:t>
            </w:r>
          </w:p>
        </w:tc>
      </w:tr>
      <w:tr>
        <w:trPr/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Д. Н. Смирнов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А. П. Иванов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Приложение № 3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к разовому договору поставки материально-технических ресурсов № 45/2026-ПСТ от 15.03.2026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г. Воронеж                                                                                    15 марта 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ООО «Черноземье-Снаб», в лице Генерального директора Иванова Алексея Петровича, действующего на основании Устава, с одной стороны, именуемое в дальнейшем «Покупатель», и АО «ПромТехПоставка», именуемое в дальнейшем «Поставщик», в лице Директора по продажам Смирнова Дмитрия Николаевича, действующего на основании Доверенности № 12/26 от 11.01.2026 г., с другой стороны, вместе именуемые «Стороны», заключили настоящее Приложение № 3 о нижеследующем: 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4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Условия поставки химреагентов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  <w:i/>
        </w:rPr>
      </w:pPr>
      <w:r>
        <w:rPr>
          <w:rFonts w:ascii="Google Sans Text;sans-serif" w:hAnsi="Google Sans Text;sans-serif"/>
          <w:b w:val="false"/>
          <w:bCs w:val="false"/>
          <w:i/>
        </w:rPr>
        <w:t>(Данный раздел применяется исключительно при поставке химических реагентов)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Условия транспортировки: Специализированным автотранспортом (цистернами/еврокубами) с соблюдением температурного режима от +5°C до +25°C.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Условия разгрузки: Силами Поставщика с применением специализированного насосного оборудования на складе ГСМ.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Условия хранения: В крытом складском помещении в герметичной заводской таре, вдали от источников тепла.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Особенности приемки Товара, в том числе условия подтверждения начальника станции Грузополучателя: Приемка производится по входному лабораторному анализу проб. Подтверждение выдается начальником станции «Приемная-1» в течение 24 часов с момента прибытия.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 xml:space="preserve">Условия возврата оборотной тары: Возврат еврокубов/поддонов осуществляется Поставщиком своими силами и за свой счет в течение 14 календарных дней после разгрузки.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</w:r>
    </w:p>
    <w:tbl>
      <w:tblPr>
        <w:tblW w:w="649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339"/>
        <w:gridCol w:w="3153"/>
      </w:tblGrid>
      <w:tr>
        <w:trPr>
          <w:tblHeader w:val="true"/>
        </w:trPr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Поставщика: DOCX</w:t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 w:val="false"/>
                <w:bCs w:val="false"/>
              </w:rPr>
              <w:t>От Покупателя: DOCX</w:t>
            </w:r>
          </w:p>
        </w:tc>
      </w:tr>
      <w:tr>
        <w:trPr/>
        <w:tc>
          <w:tcPr>
            <w:tcW w:w="33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Д. Н. Смирнов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1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Style15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</w:rPr>
              <w:t>___________ / А. П. Иванов /</w:t>
            </w:r>
          </w:p>
          <w:p>
            <w:pPr>
              <w:pStyle w:val="Style15"/>
              <w:bidi w:val="0"/>
              <w:spacing w:lineRule="auto" w:line="274"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5"/>
              <w:bidi w:val="0"/>
              <w:ind w:hanging="0" w:start="0" w:end="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rPr>
          <w:rFonts w:ascii="Google Sans;sans-serif" w:hAnsi="Google Sans;sans-serif"/>
          <w:b w:val="false"/>
          <w:bCs w:val="false"/>
        </w:rPr>
      </w:pPr>
      <w:r>
        <w:rPr>
          <w:rFonts w:ascii="Google Sans;sans-serif" w:hAnsi="Google Sans;sans-serif"/>
          <w:b w:val="false"/>
          <w:bCs w:val="false"/>
        </w:rPr>
        <w:t>Приложение № 4</w:t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к разовому договору поставки материально-технических ресурсов № 45/2026-ПСТ от 15.03.2026 г.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0"/>
        <w:ind w:hanging="0" w:start="0" w:end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4" w:before="0" w:after="140"/>
        <w:ind w:hanging="0" w:start="0" w:end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</w:rPr>
        <w:t>НЕ ПРИМЕНЯЕТСЯ</w:t>
      </w:r>
    </w:p>
    <w:p>
      <w:pPr>
        <w:pStyle w:val="BodyText"/>
        <w:bidi w:val="0"/>
        <w:spacing w:before="0" w:after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gital.gov.ru/ru/activity/govservices/2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12</Pages>
  <Words>1932</Words>
  <Characters>12816</Characters>
  <CharactersWithSpaces>14982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2026-09-12T10:47:46Z</dcterms:created>
  <dc:creator/>
  <dc:description/>
  <dc:language>ru-RU</dc:language>
  <cp:lastModifiedBy/>
  <dcterms:modified xsi:type="dcterms:W3CDTF">2026-09-12T10:48:24Z</dcterms:modified>
  <cp:revision>1</cp:revision>
  <dc:subject/>
  <dc:title/>
</cp:coreProperties>
</file>