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Политика информационной безопасности</w:t>
      </w:r>
    </w:p>
    <w:p>
      <w:pPr>
        <w:pStyle w:val="Heading1"/>
      </w:pPr>
      <w:r>
        <w:t>1. Общие положения</w:t>
      </w:r>
    </w:p>
    <w:p>
      <w:r>
        <w:t>G</w:t>
      </w:r>
    </w:p>
    <w:p>
      <w:pPr>
        <w:pStyle w:val="Heading1"/>
      </w:pPr>
      <w:r>
        <w:t>2. Область применения</w:t>
      </w:r>
    </w:p>
    <w:p>
      <w:r>
        <w:t>S</w:t>
      </w:r>
    </w:p>
    <w:p>
      <w:pPr>
        <w:pStyle w:val="Heading1"/>
      </w:pPr>
      <w:r>
        <w:t>3. Активы</w:t>
      </w:r>
    </w:p>
    <w:p>
      <w:pPr>
        <w:pStyle w:val="ListBullet"/>
      </w:pPr>
      <w:r>
        <w:t>1: S (srv), критичность high</w:t>
      </w:r>
    </w:p>
    <w:p>
      <w:pPr>
        <w:pStyle w:val="Heading1"/>
      </w:pPr>
      <w:r>
        <w:t>4. Классификация и среда</w:t>
      </w:r>
    </w:p>
    <w:p>
      <w:pPr>
        <w:pStyle w:val="Heading1"/>
      </w:pPr>
      <w:r>
        <w:t>5. Риски</w:t>
      </w:r>
    </w:p>
    <w:p>
      <w:pPr>
        <w:pStyle w:val="Heading1"/>
      </w:pPr>
      <w:r>
        <w:t>6. Требования</w:t>
      </w:r>
    </w:p>
    <w:p>
      <w:pPr>
        <w:pStyle w:val="Heading1"/>
      </w:pPr>
      <w:r>
        <w:t>7. Меры защиты</w:t>
      </w:r>
    </w:p>
    <w:p>
      <w:pPr>
        <w:pStyle w:val="Heading1"/>
      </w:pPr>
      <w:r>
        <w:t>8. Заключение</w:t>
      </w:r>
    </w:p>
    <w:p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