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МИНОБРНАУКИ РОССИИ</w:t>
      </w:r>
    </w:p>
    <w:p>
      <w:pPr>
        <w:spacing w:before="0" w:after="4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36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«Ижевский государственный технический университет имени М.Т. Калашникова»</w:t>
      </w:r>
    </w:p>
    <w:p>
      <w:pPr>
        <w:spacing w:before="0" w:after="120" w:line="240" w:lineRule="auto"/>
        <w:jc w:val="right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УТВЕРЖДАЮ</w:t>
      </w:r>
    </w:p>
    <w:p>
      <w:pPr>
        <w:spacing w:before="0" w:after="120" w:line="240" w:lineRule="auto"/>
        <w:jc w:val="right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Декан/Директор</w:t>
        <w:br/>
        <w:t>_____________/ В.В. Соболев</w:t>
      </w:r>
    </w:p>
    <w:p>
      <w:pPr>
        <w:spacing w:before="0" w:after="960" w:line="240" w:lineRule="auto"/>
        <w:jc w:val="right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_________________ 2026 г.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ДИСЦИПЛИНЫ</w:t>
      </w:r>
    </w:p>
    <w:p>
      <w:pPr>
        <w:spacing w:before="0" w:after="4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Общая физическая подготовка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направление (специальность): 01.03.04 Прикладная математика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направленность (профиль/программа/специализация): Применение математических методов и программных средств для решения инженерных и экономических задач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уровень образования: бакалавр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форма обучения: Очная</w:t>
      </w:r>
    </w:p>
    <w:p>
      <w:pPr>
        <w:spacing w:before="0" w:after="144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общая трудоемкость дисциплины составляет: 0 зачетных единиц(ы)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Ижевск 2026</w:t>
      </w:r>
    </w:p>
    <w:p>
      <w:r>
        <w:br w:type="page"/>
      </w:r>
    </w:p>
    <w:p>
      <w:pPr>
        <w:spacing w:before="0" w:after="36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Кафедра «Физическая культура и спорт»</w:t>
      </w:r>
    </w:p>
    <w:p>
      <w:pPr>
        <w:spacing w:before="0" w:after="2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Составитель: Капралова Александра Михайловна, </w:t>
      </w:r>
    </w:p>
    <w:p>
      <w:pPr>
        <w:spacing w:before="0" w:after="24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составлена в соответствии с требованиями образовательного стандарта ФГОС № 11 от 10.01.2018, рассмотрена и одобрена на заседании кафедры.</w:t>
      </w:r>
    </w:p>
    <w:p>
      <w:pPr>
        <w:spacing w:before="0" w:after="48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Протокол от «____» ________________ 2026 г. №_______</w:t>
      </w:r>
    </w:p>
    <w:p>
      <w:pPr>
        <w:spacing w:before="0" w:after="48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И.о. заведующего кафедрой __________________ С.А. Королев</w:t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СОГЛАСОВАНО</w:t>
      </w:r>
    </w:p>
    <w:p>
      <w:pPr>
        <w:spacing w:before="0" w:after="36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Количество часов рабочей программы и формируемые компетенции соответствуют учебному плану 01.03.04 «Прикладная математика» (профиль «Применение математических методов и программных средств для решения инженерных и экономических задач»)</w:t>
      </w:r>
    </w:p>
    <w:p>
      <w:pPr>
        <w:spacing w:before="0" w:after="48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Протокол заседания учебно-методической комиссии по УГСН</w:t>
        <w:br/>
        <w:t>01.00.00 «Математика и механика» от «____» _______________ 2026 г. №_______</w:t>
      </w:r>
    </w:p>
    <w:p>
      <w:pPr>
        <w:spacing w:before="0" w:after="48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Председатель учебно-методической комиссии по УГСН</w:t>
        <w:br/>
        <w:t>01.00.00 «Математика и механика» _______________________ В.Г. Суфиянов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Руководитель образовательной программы _______________________ С.А. Королев</w:t>
      </w:r>
    </w:p>
    <w:p>
      <w:r>
        <w:br w:type="page"/>
      </w:r>
    </w:p>
    <w:p>
      <w:pPr>
        <w:spacing w:before="0" w:after="24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Аннотация к дисциплине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Название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Общая физическая подготовка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Направление подготовки (специальность)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01.03.04 Прикладная математика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Направленность (профиль/программа/специализация)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Применение математических методов и программных средств для решения инженерных и экономических задач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Место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Часть, формируемая участниками образовательных отношений Блока 1. Дисциплины (модули)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Трудоемкость (з.е. / часы)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0 з.е. / 328 часов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Цель изучения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Формирование систематизированных знаний, умений и практических навыков по дисциплине «Общая физическая подготовка».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Компетенции, формируемые в результате освоения дисциплины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УК-7. Способен поддерживать должный уровень физической подготовленности для обеспечения полноценной социальной и профессиональной деятельности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Содержание дисциплины (основные разделы и темы)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Раздел 1. Введение в предметную область «Общая физическая подготовка»</w:t>
              <w:br/>
              <w:t>Раздел 2. Основной прикладной раздел «Общая физическая подготовка»</w:t>
            </w:r>
          </w:p>
        </w:tc>
      </w:tr>
      <w:tr>
        <w:trPr>
          <w:cantSplit/>
        </w:trPr>
        <w:tc>
          <w:tcPr>
            <w:tcW w:type="dxa" w:w="283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Форма промежуточной аттестации</w:t>
            </w:r>
          </w:p>
        </w:tc>
        <w:tc>
          <w:tcPr>
            <w:tcW w:type="dxa" w:w="6520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Зачет (1, 2, 3, 4, 5 семестр)</w:t>
            </w:r>
          </w:p>
        </w:tc>
      </w:tr>
    </w:tbl>
    <w:p>
      <w:r>
        <w:br w:type="page"/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1.  Цели и задачи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Целью освоения дисциплины является: Формирование систематизированных знаний, умений и практических навыков по дисциплине «Общая физическая подготовка».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Задачи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Изучить теоретические основы и понятия курса «Общая физическая подготовка».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Освоить методы решения прикладных задач в предметной области.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Получить опыт выполнения самостоятельных проектов по теме «Общая физическая подготовка».</w:t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2. Планируемые результаты обучения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В результате освоения дисциплины у студента должны быть сформированы: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Знания, приобретаемые в ходе освоения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Знать базовые принципы и терминологию, относящиеся к УК-7.3.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Знать базовые принципы и терминологию, относящиеся к УК-7.2.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Умения, приобретаемые в ходе освоения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Уметь использовать практические инструменты в контексте УК-7.3.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Уметь использовать практические инструменты в контексте УК-7.2.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Навыки, приобретаемые в ходе освоения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Владеть навыками анализа данных и принятия решений в рамках УК-7.2.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Владеть навыками анализа данных и принятия решений в рамках УК-7.3.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Компетенции, приобретаемые в ходе освоения дисциплины: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38"/>
        <w:gridCol w:w="1938"/>
        <w:gridCol w:w="1938"/>
        <w:gridCol w:w="1938"/>
        <w:gridCol w:w="1938"/>
      </w:tblGrid>
      <w:tr>
        <w:trPr>
          <w:tblHeader/>
          <w:cantSplit/>
        </w:trPr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Компетенции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Индикаторы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Знания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Умения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Навыки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УК-7. Способен поддерживать должный уровень физической подготовленности для обеспечения полноценной социальной и профессиональной деятельности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УК-7.2. Уметь: применять средства и методы физического воспитания при организации самостоятельных занятий для сохранения и укрепления здоровья, регулирования физической работоспособности, активного отдыха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  <w:tr>
        <w:trPr>
          <w:cantSplit/>
        </w:trPr>
        <w:tc>
          <w:tcPr>
            <w:tcW w:type="dxa" w:w="1938"/>
            <w:vAlign w:val="center"/>
            <w:vMerge/>
            <w:tcMar>
              <w:top w:w="100" w:type="dxa"/>
              <w:bottom w:w="100" w:type="dxa"/>
              <w:left w:w="120" w:type="dxa"/>
              <w:right w:w="120" w:type="dxa"/>
            </w:tcMar>
          </w:tcPr>
          <w:p/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УК-7.3. Владеть: основами правильной техники жизненно важных двигательных умений и навыков; навыками самостоятельного воспитания двигательных способностей; навыками самоконтроля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938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3. Место дисциплины в структуре ООП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Дисциплина относится к обязательной части Блока 1 «Дисциплины (модули)» ООП.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Дисциплина изучается на 1, 2, 3 курсе(ах) в 1, 2, 3, 4, 5 семестре(ах).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Изучение дисциплины базируется на знаниях, умениях и навыках, полученных при изучении школьной программы.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Последующие дисциплины: Знания пригодятся при изучении последующих дисциплин: Методы оптимизации, Исследование операций, Физическая культура и спорт, Теория случайных процессов и основы теории массового обслуживания, Безопасность жизнедеятельности, Компьютерные технологии математических исследований, Компьютерная графика, Технология программирования, Математическое моделирование, Численные методы решения дифференциальных уравнений, Информационные технологии анализа и обработки данных, Экономико-математические методы, Проектирование программного обеспечения, Теория управления, Операционные системы и сети электронно-вычислительных машин, Параллельное программирование, Планирование и обработка эксперимента, Логическое и функциональное программирование, Эконометрика, Математические модели микроэкономики.</w:t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 Структура и содержание дисциплины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4.1 Структура учебной нагрузки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  <w:gridCol w:w="969"/>
      </w:tblGrid>
      <w:tr>
        <w:trPr>
          <w:cantSplit/>
        </w:trPr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 дисциплины. Форма промежуточной аттестации (по семестрам)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Всего часов на раздел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Семестр</w:t>
            </w:r>
          </w:p>
        </w:tc>
        <w:tc>
          <w:tcPr>
            <w:tcW w:type="dxa" w:w="4845"/>
            <w:vAlign w:val="center"/>
            <w:gridSpan w:val="5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Распределение трудоемкости раздела (в часах) по видам учебной работы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Содержание самостоятельной работы</w:t>
            </w:r>
          </w:p>
        </w:tc>
      </w:tr>
      <w:tr>
        <w:trPr>
          <w:cantSplit/>
        </w:trPr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3876"/>
            <w:vAlign w:val="center"/>
            <w:gridSpan w:val="4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контактная</w:t>
            </w:r>
          </w:p>
        </w:tc>
        <w:tc>
          <w:tcPr>
            <w:tcW w:type="dxa" w:w="969"/>
            <w:vAlign w:val="center"/>
            <w:vMerge w:val="restart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СРС</w:t>
            </w:r>
          </w:p>
        </w:tc>
        <w:tc>
          <w:tcPr>
            <w:tcW w:type="dxa" w:w="969"/>
            <w:vMerge/>
            <w:shd w:val="clear" w:color="auto" w:fill="F2F2F2"/>
          </w:tcPr>
          <w:p/>
        </w:tc>
      </w:tr>
      <w:tr>
        <w:trPr>
          <w:cantSplit/>
        </w:trPr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лек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пр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лаб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КЧА</w:t>
            </w:r>
          </w:p>
        </w:tc>
        <w:tc>
          <w:tcPr>
            <w:tcW w:type="dxa" w:w="969"/>
            <w:vMerge/>
            <w:shd w:val="clear" w:color="auto" w:fill="F2F2F2"/>
          </w:tcPr>
          <w:p/>
        </w:tc>
        <w:tc>
          <w:tcPr>
            <w:tcW w:type="dxa" w:w="969"/>
            <w:vMerge/>
            <w:shd w:val="clear" w:color="auto" w:fill="F2F2F2"/>
          </w:tcPr>
          <w:p/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10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11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Введение в предметную область «Общая физическая подготовка»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Решение практических задач и подготовка к защите практических работ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Зачет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1.7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Зачет выставляется по совокупности результатов текущего контроля успеваемости</w:t>
            </w:r>
          </w:p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 за 1 семестр: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35.7</w:t>
            </w:r>
          </w:p>
        </w:tc>
        <w:tc>
          <w:tcPr>
            <w:tcW w:type="dxa" w:w="969"/>
          </w:tcPr>
          <w:p/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Зачет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1.7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Зачет выставляется по совокупности результатов текущего контроля успеваемости</w:t>
            </w:r>
          </w:p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 за 2 семестр: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35.7</w:t>
            </w:r>
          </w:p>
        </w:tc>
        <w:tc>
          <w:tcPr>
            <w:tcW w:type="dxa" w:w="969"/>
          </w:tcPr>
          <w:p/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Основной прикладной раздел «Общая физическая подготовка»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Решение практических задач и подготовка к защите практических работ</w:t>
            </w:r>
          </w:p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Зачет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1.7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Зачет выставляется по совокупности результатов текущего контроля успеваемости</w:t>
            </w:r>
          </w:p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 за 3 семестр: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35.7</w:t>
            </w:r>
          </w:p>
        </w:tc>
        <w:tc>
          <w:tcPr>
            <w:tcW w:type="dxa" w:w="969"/>
          </w:tcPr>
          <w:p/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Зачет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1.7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Зачет выставляется по совокупности результатов текущего контроля успеваемости</w:t>
            </w:r>
          </w:p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 за 4 семестр: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68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35.7</w:t>
            </w:r>
          </w:p>
        </w:tc>
        <w:tc>
          <w:tcPr>
            <w:tcW w:type="dxa" w:w="969"/>
          </w:tcPr>
          <w:p/>
        </w:tc>
      </w:tr>
      <w:tr>
        <w:trPr>
          <w:cantSplit/>
        </w:trPr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Зачет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1.7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Зачет выставляется по совокупности результатов текущего контроля успеваемости</w:t>
            </w:r>
          </w:p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 за 5 семестр: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66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32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0.3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33.7</w:t>
            </w:r>
          </w:p>
        </w:tc>
        <w:tc>
          <w:tcPr>
            <w:tcW w:type="dxa" w:w="969"/>
          </w:tcPr>
          <w:p/>
        </w:tc>
      </w:tr>
      <w:tr>
        <w:trPr>
          <w:cantSplit/>
        </w:trPr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Итого: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142</w:t>
            </w:r>
          </w:p>
        </w:tc>
        <w:tc>
          <w:tcPr>
            <w:tcW w:type="dxa" w:w="969"/>
          </w:tcPr>
          <w:p/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64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–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1.5</w:t>
            </w:r>
          </w:p>
        </w:tc>
        <w:tc>
          <w:tcPr>
            <w:tcW w:type="dxa" w:w="9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76.5</w:t>
            </w:r>
          </w:p>
        </w:tc>
        <w:tc>
          <w:tcPr>
            <w:tcW w:type="dxa" w:w="969"/>
          </w:tcPr>
          <w:p/>
        </w:tc>
      </w:tr>
    </w:tbl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4.2 Содержание разделов курса и формируемых в них компетенций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384"/>
        <w:gridCol w:w="1384"/>
        <w:gridCol w:w="1384"/>
        <w:gridCol w:w="1384"/>
        <w:gridCol w:w="1384"/>
        <w:gridCol w:w="1384"/>
        <w:gridCol w:w="1384"/>
      </w:tblGrid>
      <w:tr>
        <w:trPr>
          <w:tblHeader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Раздел дисциплины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Коды компетенций и индикаторов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Знания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Умения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Навыки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Форма контроля</w:t>
            </w:r>
          </w:p>
        </w:tc>
      </w:tr>
      <w:tr>
        <w:trPr>
          <w:cantSplit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Введение в предметную область «Общая физическая подготовка»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УК-7.2</w:t>
              <w:br/>
              <w:t>УК-7.3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Основной прикладной раздел «Общая физическая подготовка»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УК-7.2</w:t>
              <w:br/>
              <w:t>УК-7.3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Н1</w:t>
            </w:r>
          </w:p>
        </w:tc>
        <w:tc>
          <w:tcPr>
            <w:tcW w:type="dxa" w:w="138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4.3 Наименование тем лекций, их содержание и объем в часах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раздела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 лекций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Трудоемкость (час)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4.4 Наименование тем практических занятий, их содержание и объем в часах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раздела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Наименование практических работ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Трудоемкость (час)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Семинар 1. Базовые концепции Общая физическая подготовка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80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5669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Семинар 2. Решение кейсов Общая физическая подготовка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80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5. Оценочные материалы для текущего контроля успеваемости и промежуточной аттестации по дисциплине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Для контроля результатов освоения дисциплины проводятся: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— защиты практических работ.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Примечание: детальные оценочные материалы (варианты заданий, тесты, контрольные вопросы) приведены в Приложении к настоящей рабочей программе дисциплины.</w:t>
      </w:r>
    </w:p>
    <w:p>
      <w:pPr>
        <w:spacing w:before="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6.  Учебно-методическое и информационное обеспечение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а) основная литература: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Иванов И.И. Теоретические основы курса «Общая физическая подготовка»: учебник для вузов. — Москва: IPR SMART, 2024. — 320 c. — URL: https://www.iprbookshop.ru/115123.html.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Петров П.П. Практическое руководство по дисциплине «Общая физическая подготовка»: учебное пособие. — Саратов: ВУЗ-Издат, 2023. — 150 c. — URL: https://www.iprbookshop.ru/124321.html.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б) дополнительная литература: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Сидоров С.С. Архитектура и проектирование решений «Общая физическая подготовка». — Санкт-Петербург: Наука, 2022. — 200 c.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в) методические указания: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Методические указания к лабораторным работам по «Общая физическая подготовка» / сост. Кафедра информационных технологий, 2025.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г) перечень ресурсов информационно-коммуникационной сети Интернет: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Электронный библиотечный каталог — http://istu.ru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Российское образование — https://edu.ru</w:t>
      </w: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д) лицензионное и свободно распространяемое программное обеспечение: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Операционная система семейства Linux / MS Windows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Офисный пакет (Microsoft Office / LibreOffice)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Doctor Web Enterprise Suite (Лицензия № 116663324)</w:t>
      </w:r>
    </w:p>
    <w:p>
      <w:pPr>
        <w:spacing w:before="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7. Материально-техническое обеспечение дисциплины: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Лекционные занятия: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Учебные аудитории для лекционных занятий укомплектованы специализированной мебелью и техническими средствами обучения (мультимедийный проектор, экран, персональный компьютер).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Практические и лабораторные занятия: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Лаборатории и компьютерные классы оснащены персональными компьютерами (ПЭВМ) с возможностью выхода в Интернет и доступом к локальной электронно-образовательной среде ИжГТУ.</w:t>
      </w:r>
    </w:p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При необходимости рабочая программа дисциплины может быть адаптирована для обеспечения образовательного процесса инвалидов и лиц с ограниченными возможностями здоровья. Для этого требуется письменное заявление студента и заключение ПМПК.</w:t>
      </w:r>
    </w:p>
    <w:p>
      <w:r>
        <w:br w:type="page"/>
      </w:r>
    </w:p>
    <w:p>
      <w:pPr>
        <w:spacing w:before="0" w:after="24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Лист согласования рабочей программы дисциплины на учебный год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Рабочая программа дисциплины «Общая физическая подготовка» по направлению подготовки 01.03.04 Прикладная математика согласована на ведение учебного процесса: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844"/>
        <w:gridCol w:w="4844"/>
      </w:tblGrid>
      <w:t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Учебный год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«Согласовано»: И.о. зав. кафедрой, ответственной за РПД (подпись и дата)</w:t>
            </w:r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2026-2027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2027-2028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2028-2029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</w:p>
        </w:tc>
      </w:tr>
      <w:tr>
        <w:trPr>
          <w:cantSplit/>
        </w:trPr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2029-2030</w:t>
            </w:r>
          </w:p>
        </w:tc>
        <w:tc>
          <w:tcPr>
            <w:tcW w:type="dxa" w:w="4844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</w:p>
        </w:tc>
      </w:tr>
    </w:tbl>
    <w:p>
      <w:r>
        <w:br w:type="page"/>
      </w:r>
    </w:p>
    <w:p>
      <w:pPr>
        <w:spacing w:before="0" w:after="480" w:line="240" w:lineRule="auto"/>
        <w:jc w:val="right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Приложение к рабочей программе дисциплины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МИНОБРНАУКИ РОССИИ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Федеральное государственное бюджетное образовательное учреждение высшего образования</w:t>
      </w:r>
    </w:p>
    <w:p>
      <w:pPr>
        <w:spacing w:before="0" w:after="7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«Ижевский государственный технический университет имени М.Т. Калашникова»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Оценочные средства по дисциплине</w:t>
      </w:r>
    </w:p>
    <w:p>
      <w:pPr>
        <w:spacing w:before="0" w:after="480" w:line="240" w:lineRule="auto"/>
        <w:jc w:val="center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Общая физическая подготовка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направление (специальность) 01.03.04 Прикладная математика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направленность (профиль) Применение математических методов и программных средств для решения инженерных и экономических задач</w:t>
      </w:r>
    </w:p>
    <w:p>
      <w:pPr>
        <w:spacing w:before="0" w:after="12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уровень образования: бакалавр</w:t>
      </w:r>
    </w:p>
    <w:p>
      <w:pPr>
        <w:spacing w:before="0" w:after="360" w:line="240" w:lineRule="auto"/>
        <w:jc w:val="center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форма обучения: Очная</w:t>
      </w:r>
    </w:p>
    <w:p>
      <w:r>
        <w:br w:type="page"/>
      </w: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1. Оценочные средства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422"/>
        <w:gridCol w:w="2422"/>
        <w:gridCol w:w="2422"/>
        <w:gridCol w:w="2422"/>
      </w:tblGrid>
      <w:tr>
        <w:trPr>
          <w:tblHeader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№ п/п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Коды компетенций и индикаторов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Результат обучения (знания, умения и навыки)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Формы текущего и промежуточного контроля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УК-7.2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УК-7.2.</w:t>
              <w:br/>
              <w:t>У1: Уметь использовать практические инструменты в контексте УК-7.2.</w:t>
              <w:br/>
              <w:t>Н1: Владеть навыками анализа данных и принятия решений в рамках УК-7.2.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  <w:tr>
        <w:trPr>
          <w:cantSplit/>
        </w:trPr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УК-7.3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З1: Знать базовые принципы и терминологию, относящиеся к УК-7.3.</w:t>
              <w:br/>
              <w:t>У1: Уметь использовать практические инструменты в контексте УК-7.3.</w:t>
              <w:br/>
              <w:t>Н1: Владеть навыками анализа данных и принятия решений в рамках УК-7.3.</w:t>
            </w:r>
          </w:p>
        </w:tc>
        <w:tc>
          <w:tcPr>
            <w:tcW w:type="dxa" w:w="2422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left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0"/>
                <w:rFonts w:ascii="Times New Roman" w:hAnsi="Times New Roman" w:cs="Times New Roman" w:eastAsia="Times New Roman"/>
              </w:rPr>
              <w:t>Защита практических работ</w:t>
            </w:r>
          </w:p>
        </w:tc>
      </w:tr>
    </w:tbl>
    <w:p>
      <w:pPr>
        <w:spacing w:before="0" w:after="120" w:line="240" w:lineRule="auto"/>
      </w:pPr>
    </w:p>
    <w:p>
      <w:pPr>
        <w:spacing w:before="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Наименование: проверочный тест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/>
          <w:color w:val="000000"/>
          <w:sz w:val="28"/>
          <w:rFonts w:ascii="Times New Roman" w:hAnsi="Times New Roman" w:cs="Times New Roman" w:eastAsia="Times New Roman"/>
        </w:rPr>
        <w:t>Представление в ФОС: набор вопросов для проведения тестирования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1. Что является главным объектом изучения дисциплины «Общая физическая подготовка»?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Теоретические концепции и базовые определения дисциплины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Вспомогательные инструменты сторонних предметных областей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Программные методы без привязки к теоретическому базису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Организационно-правовые аспекты деятельности сторонних ведомств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2. Какой метод наиболее часто применяется в рамках «Общая физическая подготовка»?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Метод субъективных экспертных допущений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Системный анализ и комплексное моделирование процессов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Случайный подбор экспериментальных параметров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Интуитивный подход к проектированию систем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3. Что представляет собой методология предметной области?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Хаотичный набор практических рекомендаций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Система принципов и способов организации теоретической и практической деятельности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Второстепенный раздел учебной программы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Субъективное видение процесса разработки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4. Какой результат освоения дисциплины «Общая физическая подготовка» является приоритетным?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Отказ от использования современных инструментальных средств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Способность эффективно решать профессиональные задачи на основе полученных знаний и умений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Изучение только теоретических аспектов без практической применимости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Ориентация исключительно на исторический опыт ведения разработок</w:t>
      </w:r>
    </w:p>
    <w:p>
      <w:pPr>
        <w:spacing w:before="0" w:after="12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>5. Какие требования предъявляются к уровню освоения учебного материала?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1) Поверхностное ознакомление без закрепления практических навыков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2) Отказ от самостоятельного выполнения разделов программы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3) Формирование компетенций, установленных государственным образовательным стандартом</w:t>
      </w:r>
    </w:p>
    <w:p>
      <w:pPr>
        <w:spacing w:before="40" w:after="40" w:line="240" w:lineRule="auto"/>
      </w:pPr>
      <w:r>
        <w:rPr>
          <w:rFonts w:ascii="Times New Roman" w:hAnsi="Times New Roman"/>
          <w:b w:val="0"/>
          <w:i w:val="0"/>
          <w:color w:val="000000"/>
          <w:sz w:val="28"/>
          <w:rFonts w:ascii="Times New Roman" w:hAnsi="Times New Roman" w:cs="Times New Roman" w:eastAsia="Times New Roman"/>
        </w:rPr>
        <w:t xml:space="preserve">   4) Оценка успеваемости на основе случайного распределения баллов</w:t>
      </w:r>
    </w:p>
    <w:p>
      <w:pPr>
        <w:spacing w:before="240" w:after="12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Ключи теста: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615"/>
        <w:gridCol w:w="1615"/>
        <w:gridCol w:w="1615"/>
        <w:gridCol w:w="1615"/>
        <w:gridCol w:w="1615"/>
        <w:gridCol w:w="1615"/>
      </w:tblGrid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Вопрос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3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4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5</w:t>
            </w:r>
          </w:p>
        </w:tc>
      </w:tr>
      <w:tr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  <w:shd w:val="clear" w:color="auto" w:fill="F2F2F2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Ответ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1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2</w:t>
            </w:r>
          </w:p>
        </w:tc>
        <w:tc>
          <w:tcPr>
            <w:tcW w:type="dxa" w:w="1615"/>
            <w:vAlign w:val="center"/>
            <w:tcMar>
              <w:top w:w="100" w:type="dxa"/>
              <w:bottom w:w="100" w:type="dxa"/>
              <w:left w:w="120" w:type="dxa"/>
              <w:right w:w="120" w:type="dxa"/>
            </w:tcMar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Times New Roman" w:hAnsi="Times New Roman"/>
                <w:b w:val="0"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3</w:t>
            </w:r>
          </w:p>
        </w:tc>
      </w:tr>
    </w:tbl>
    <w:p>
      <w:pPr>
        <w:spacing w:before="360" w:after="120" w:line="240" w:lineRule="auto"/>
      </w:pPr>
    </w:p>
    <w:p>
      <w:pPr>
        <w:spacing w:before="0" w:after="240" w:line="240" w:lineRule="auto"/>
      </w:pPr>
      <w:r>
        <w:rPr>
          <w:rFonts w:ascii="Times New Roman" w:hAnsi="Times New Roman"/>
          <w:b/>
          <w:i w:val="0"/>
          <w:color w:val="000000"/>
          <w:sz w:val="28"/>
          <w:rFonts w:ascii="Times New Roman" w:hAnsi="Times New Roman" w:cs="Times New Roman" w:eastAsia="Times New Roman"/>
        </w:rPr>
        <w:t>Пример экзаменационного билета: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9689"/>
      </w:tblGrid>
      <w:tr>
        <w:trPr>
          <w:cantSplit/>
        </w:trPr>
        <w:tc>
          <w:tcPr>
            <w:tcW w:type="dxa" w:w="8504"/>
          </w:tcPr>
          <w:p>
            <w:pPr>
              <w:jc w:val="center"/>
            </w:pPr>
            <w:r>
              <w:rPr>
                <w:rFonts w:ascii="Times New Roman" w:hAnsi="Times New Roman"/>
                <w:b w:val="0"/>
                <w:i w:val="0"/>
                <w:color w:val="000000"/>
                <w:sz w:val="18"/>
                <w:rFonts w:ascii="Times New Roman" w:hAnsi="Times New Roman" w:cs="Times New Roman" w:eastAsia="Times New Roman"/>
              </w:rPr>
              <w:t>ФГБОУ ВО «Ижевский государственный технический университет имени М.Т. Калашникова»</w:t>
              <w:br/>
              <w:br/>
            </w:r>
            <w:r>
              <w:rPr>
                <w:rFonts w:ascii="Times New Roman" w:hAnsi="Times New Roman"/>
                <w:b/>
                <w:i w:val="0"/>
                <w:color w:val="000000"/>
                <w:sz w:val="24"/>
                <w:rFonts w:ascii="Times New Roman" w:hAnsi="Times New Roman" w:cs="Times New Roman" w:eastAsia="Times New Roman"/>
              </w:rPr>
              <w:t>ЭКЗАМЕНАЦИОННЫЙ БИЛЕТ № 1</w:t>
              <w:br/>
            </w:r>
            <w:r>
              <w:rPr>
                <w:rFonts w:ascii="Times New Roman" w:hAnsi="Times New Roman"/>
                <w:b w:val="0"/>
                <w:i/>
                <w:color w:val="000000"/>
                <w:sz w:val="20"/>
                <w:rFonts w:ascii="Times New Roman" w:hAnsi="Times New Roman" w:cs="Times New Roman" w:eastAsia="Times New Roman"/>
              </w:rPr>
              <w:t>по дисциплине «Общая физическая подготовка»</w:t>
              <w:br/>
              <w:t>для направления 01.03.04 «Прикладная математика»</w:t>
              <w:br/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1. Объясните ключевые понятия дисциплины «Общая физическая подготовка».</w:t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2. Опишите структуру и цели изучаемых методов.</w:t>
              <w:br/>
            </w:r>
            <w:r>
              <w:rPr>
                <w:rFonts w:ascii="Times New Roman" w:hAnsi="Times New Roman"/>
                <w:b w:val="0"/>
                <w:i w:val="0"/>
                <w:color w:val="000000"/>
                <w:sz w:val="22"/>
                <w:rFonts w:ascii="Times New Roman" w:hAnsi="Times New Roman" w:cs="Times New Roman" w:eastAsia="Times New Roman"/>
              </w:rPr>
              <w:t>3. Сформулируйте критерии эффективности примененных подходов.</w:t>
              <w:br/>
            </w:r>
            <w:r>
              <w:rPr>
                <w:rFonts w:ascii="Times New Roman" w:hAnsi="Times New Roman"/>
                <w:b w:val="0"/>
                <w:i/>
                <w:color w:val="000000"/>
                <w:sz w:val="18"/>
                <w:rFonts w:ascii="Times New Roman" w:hAnsi="Times New Roman" w:cs="Times New Roman" w:eastAsia="Times New Roman"/>
              </w:rPr>
              <w:br/>
              <w:t>Билет рассмотрен на заседании кафедры ФКиС от «____» _______________ 2026 г.</w:t>
            </w:r>
          </w:p>
        </w:tc>
      </w:tr>
    </w:tbl>
    <w:sectPr w:rsidR="00FC693F" w:rsidRPr="0006063C" w:rsidSect="00034616">
      <w:pgSz w:w="12240" w:h="15840"/>
      <w:pgMar w:top="1134" w:right="850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