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4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36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right"/>
      </w:pPr>
      <w:r>
        <w:rPr>
          <w:rFonts w:ascii="Times New Roman" w:hAnsi="Times New Roman"/>
          <w:b/>
          <w:i w:val="0"/>
          <w:color w:val="000000"/>
          <w:sz w:val="28"/>
          <w:rFonts w:ascii="Times New Roman" w:hAnsi="Times New Roman" w:cs="Times New Roman" w:eastAsia="Times New Roman"/>
        </w:rPr>
        <w:t>УТВЕРЖДАЮ</w:t>
      </w:r>
    </w:p>
    <w:p>
      <w:pPr>
        <w:spacing w:before="0" w:after="120" w:line="240" w:lineRule="auto"/>
        <w:jc w:val="right"/>
      </w:pPr>
      <w:r>
        <w:rPr>
          <w:rFonts w:ascii="Times New Roman" w:hAnsi="Times New Roman"/>
          <w:b w:val="0"/>
          <w:i w:val="0"/>
          <w:color w:val="000000"/>
          <w:sz w:val="28"/>
          <w:rFonts w:ascii="Times New Roman" w:hAnsi="Times New Roman" w:cs="Times New Roman" w:eastAsia="Times New Roman"/>
        </w:rPr>
        <w:t>Декан/Директор</w:t>
        <w:br/>
        <w:t>_____________/ В.В. Соболев</w:t>
      </w:r>
    </w:p>
    <w:p>
      <w:pPr>
        <w:spacing w:before="0" w:after="960" w:line="240" w:lineRule="auto"/>
        <w:jc w:val="right"/>
      </w:pPr>
      <w:r>
        <w:rPr>
          <w:rFonts w:ascii="Times New Roman" w:hAnsi="Times New Roman"/>
          <w:b w:val="0"/>
          <w:i w:val="0"/>
          <w:color w:val="000000"/>
          <w:sz w:val="28"/>
          <w:rFonts w:ascii="Times New Roman" w:hAnsi="Times New Roman" w:cs="Times New Roman" w:eastAsia="Times New Roman"/>
        </w:rPr>
        <w:t>_________________ 2026 г.</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РАБОЧАЯ ПРОГРАММА ДИСЦИПЛИНЫ</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Дополнительные главы математического анализа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(профиль/программа/специализация):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pPr>
        <w:spacing w:before="0" w:after="1440" w:line="240" w:lineRule="auto"/>
        <w:jc w:val="center"/>
      </w:pPr>
      <w:r>
        <w:rPr>
          <w:rFonts w:ascii="Times New Roman" w:hAnsi="Times New Roman"/>
          <w:b w:val="0"/>
          <w:i w:val="0"/>
          <w:color w:val="000000"/>
          <w:sz w:val="28"/>
          <w:rFonts w:ascii="Times New Roman" w:hAnsi="Times New Roman" w:cs="Times New Roman" w:eastAsia="Times New Roman"/>
        </w:rPr>
        <w:t>общая трудоемкость дисциплины составляет: 3 зачетных единиц(ы)</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Ижевск 2026</w:t>
      </w:r>
    </w:p>
    <w:p>
      <w:r>
        <w:br w:type="page"/>
      </w:r>
    </w:p>
    <w:p>
      <w:pPr>
        <w:spacing w:before="0" w:after="360" w:line="240" w:lineRule="auto"/>
      </w:pPr>
      <w:r>
        <w:rPr>
          <w:rFonts w:ascii="Times New Roman" w:hAnsi="Times New Roman"/>
          <w:b/>
          <w:i w:val="0"/>
          <w:color w:val="000000"/>
          <w:sz w:val="28"/>
          <w:rFonts w:ascii="Times New Roman" w:hAnsi="Times New Roman" w:cs="Times New Roman" w:eastAsia="Times New Roman"/>
        </w:rPr>
        <w:t>Кафедра «Прикладная математика и информационные технологии»</w:t>
      </w:r>
    </w:p>
    <w:p>
      <w:pPr>
        <w:spacing w:before="0" w:after="240" w:line="240" w:lineRule="auto"/>
      </w:pPr>
      <w:r>
        <w:rPr>
          <w:rFonts w:ascii="Times New Roman" w:hAnsi="Times New Roman"/>
          <w:b w:val="0"/>
          <w:i w:val="0"/>
          <w:color w:val="000000"/>
          <w:sz w:val="28"/>
          <w:rFonts w:ascii="Times New Roman" w:hAnsi="Times New Roman" w:cs="Times New Roman" w:eastAsia="Times New Roman"/>
        </w:rPr>
        <w:t>Составитель: Ватолкин Михаил Юрьевич, канд. физ.-мат. наук, доцент</w:t>
      </w:r>
    </w:p>
    <w:p>
      <w:pPr>
        <w:spacing w:before="0" w:after="24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составлена в соответствии с требованиями образовательного стандарта ФГОС № 11 от 10.01.2018, рассмотрена и одобрена на заседании кафедры.</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от «____» ________________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И.о. заведующего кафедрой __________________ С.А. Королев</w:t>
      </w:r>
    </w:p>
    <w:p>
      <w:pPr>
        <w:spacing w:before="0" w:after="240" w:line="240" w:lineRule="auto"/>
      </w:pPr>
      <w:r>
        <w:rPr>
          <w:rFonts w:ascii="Times New Roman" w:hAnsi="Times New Roman"/>
          <w:b/>
          <w:i w:val="0"/>
          <w:color w:val="000000"/>
          <w:sz w:val="28"/>
          <w:rFonts w:ascii="Times New Roman" w:hAnsi="Times New Roman" w:cs="Times New Roman" w:eastAsia="Times New Roman"/>
        </w:rPr>
        <w:t>СОГЛАСОВАНО</w:t>
      </w:r>
    </w:p>
    <w:p>
      <w:pPr>
        <w:spacing w:before="0" w:after="360" w:line="240" w:lineRule="auto"/>
      </w:pPr>
      <w:r>
        <w:rPr>
          <w:rFonts w:ascii="Times New Roman" w:hAnsi="Times New Roman"/>
          <w:b w:val="0"/>
          <w:i w:val="0"/>
          <w:color w:val="000000"/>
          <w:sz w:val="28"/>
          <w:rFonts w:ascii="Times New Roman" w:hAnsi="Times New Roman" w:cs="Times New Roman" w:eastAsia="Times New Roman"/>
        </w:rPr>
        <w:t>Количество часов рабочей программы и формируемые компетенции соответствуют учебному плану 01.03.04 «Прикладная математика» (профиль «Применение математических методов и программных средств для решения инженерных и экономических задач»)</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Протокол заседания учебно-методической комиссии по УГСН</w:t>
        <w:br/>
        <w:t>01.00.00 «Математика и механика» от «____» _______________ 2026 г. №_______</w:t>
      </w:r>
    </w:p>
    <w:p>
      <w:pPr>
        <w:spacing w:before="0" w:after="480" w:line="240" w:lineRule="auto"/>
      </w:pPr>
      <w:r>
        <w:rPr>
          <w:rFonts w:ascii="Times New Roman" w:hAnsi="Times New Roman"/>
          <w:b w:val="0"/>
          <w:i w:val="0"/>
          <w:color w:val="000000"/>
          <w:sz w:val="28"/>
          <w:rFonts w:ascii="Times New Roman" w:hAnsi="Times New Roman" w:cs="Times New Roman" w:eastAsia="Times New Roman"/>
        </w:rPr>
        <w:t>Председатель учебно-методической комиссии по УГСН</w:t>
        <w:br/>
        <w:t>01.00.00 «Математика и механика» _______________________ В.Г. Суфиянов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Руководитель образовательной программы _______________________ С.А. Королев</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Аннотация к дисциплине</w:t>
      </w:r>
    </w:p>
    <w:tbl>
      <w:tblPr>
        <w:tblStyle w:val="TableGrid"/>
        <w:tblW w:type="auto" w:w="0"/>
        <w:jc w:val="center"/>
        <w:tblLook w:firstColumn="1" w:firstRow="1" w:lastColumn="0" w:lastRow="0" w:noHBand="0" w:noVBand="1" w:val="04A0"/>
      </w:tblPr>
      <w:tblGrid>
        <w:gridCol w:w="4844"/>
        <w:gridCol w:w="4844"/>
      </w:tblGrid>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Название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Дополнительные главы математического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Направление подготовки (специальность)</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01.03.04 Прикладная математика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Направленность (профиль/программа/специализация)</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Применение математических методов и программных средств для решения инженерных и экономических задач</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Место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Часть, формируемая участниками образовательных отношений Блока 1. Дисциплины (модули)</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Трудоемкость (з.е. / часы)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3 з.е. / 106 часов</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Цель изучения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Формирование систематизированных знаний, умений и практических навыков по дисциплине «Дополнительные главы математического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Компетенции, формируемые в результате освоения дисциплины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ПК-4. Способен принимать научно-обоснованные решения на основе математического моделирования и методов системного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Содержание дисциплины (основные разделы и темы)</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Раздел 1. Введение в предметную область «Дополнительные главы математического анализа»</w:t>
              <w:br/>
              <w:t>Раздел 2. Основной прикладной раздел «Дополнительные главы математического анализа»</w:t>
            </w:r>
          </w:p>
        </w:tc>
      </w:tr>
      <w:tr>
        <w:trPr>
          <w:cantSplit/>
        </w:trPr>
        <w:tc>
          <w:tcPr>
            <w:tcW w:type="dxa" w:w="2835"/>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2"/>
                <w:rFonts w:ascii="Times New Roman" w:hAnsi="Times New Roman" w:cs="Times New Roman" w:eastAsia="Times New Roman"/>
              </w:rPr>
              <w:t>Форма промежуточной аттестации</w:t>
            </w:r>
          </w:p>
        </w:tc>
        <w:tc>
          <w:tcPr>
            <w:tcW w:type="dxa" w:w="6520"/>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2"/>
                <w:rFonts w:ascii="Times New Roman" w:hAnsi="Times New Roman" w:cs="Times New Roman" w:eastAsia="Times New Roman"/>
              </w:rPr>
              <w:t>Зачет (4 семестр)</w:t>
            </w:r>
          </w:p>
        </w:tc>
      </w:tr>
    </w:tbl>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Цели и 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Целью освоения дисциплины является: Формирование систематизированных знаний, умений и практических навыков по дисциплине «Дополнительные главы математического анализа».</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Задачи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Изучить теоретические основы и понятия курса «Дополнительные главы математического анализа».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Освоить методы решения прикладных задач в предметной области.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Получить опыт выполнения самостоятельных проектов по теме «Дополнительные главы математического анализа».</w:t>
      </w:r>
    </w:p>
    <w:p>
      <w:pPr>
        <w:spacing w:before="0" w:after="240" w:line="240" w:lineRule="auto"/>
      </w:pPr>
      <w:r>
        <w:rPr>
          <w:rFonts w:ascii="Times New Roman" w:hAnsi="Times New Roman"/>
          <w:b/>
          <w:i w:val="0"/>
          <w:color w:val="000000"/>
          <w:sz w:val="28"/>
          <w:rFonts w:ascii="Times New Roman" w:hAnsi="Times New Roman" w:cs="Times New Roman" w:eastAsia="Times New Roman"/>
        </w:rPr>
        <w:t>2. Планируемые результаты обучения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В результате освоения дисциплины у студента должны быть сформированы: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Знания,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Знать базовые принципы и терминологию, относящиеся к ПК-4.2.</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Знать базовые принципы и терминологию, относящиеся к ПК-4.3.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Знать базовые принципы и терминологию, относящиеся к ПК-4.1.</w:t>
      </w:r>
    </w:p>
    <w:p>
      <w:pPr>
        <w:spacing w:before="0" w:after="120" w:line="240" w:lineRule="auto"/>
      </w:pPr>
      <w:r>
        <w:rPr>
          <w:rFonts w:ascii="Times New Roman" w:hAnsi="Times New Roman"/>
          <w:b/>
          <w:i w:val="0"/>
          <w:color w:val="000000"/>
          <w:sz w:val="28"/>
          <w:rFonts w:ascii="Times New Roman" w:hAnsi="Times New Roman" w:cs="Times New Roman" w:eastAsia="Times New Roman"/>
        </w:rPr>
        <w:t>Умения,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Уметь использовать практические инструменты в контексте ПК-4.1.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Уметь использовать практические инструменты в контексте ПК-4.3.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Уметь использовать практические инструменты в контексте ПК-4.2.</w:t>
      </w:r>
    </w:p>
    <w:p>
      <w:pPr>
        <w:spacing w:before="0" w:after="120" w:line="240" w:lineRule="auto"/>
      </w:pPr>
      <w:r>
        <w:rPr>
          <w:rFonts w:ascii="Times New Roman" w:hAnsi="Times New Roman"/>
          <w:b/>
          <w:i w:val="0"/>
          <w:color w:val="000000"/>
          <w:sz w:val="28"/>
          <w:rFonts w:ascii="Times New Roman" w:hAnsi="Times New Roman" w:cs="Times New Roman" w:eastAsia="Times New Roman"/>
        </w:rPr>
        <w:t>Навыки, приобретаемые в ходе освоения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Владеть навыками анализа данных и принятия решений в рамках ПК-4.1.</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Владеть навыками анализа данных и принятия решений в рамках ПК-4.3.</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Владеть навыками анализа данных и принятия решений в рамках ПК-4.2.</w:t>
      </w:r>
    </w:p>
    <w:p>
      <w:pPr>
        <w:spacing w:before="0" w:after="120" w:line="240" w:lineRule="auto"/>
      </w:pPr>
      <w:r>
        <w:rPr>
          <w:rFonts w:ascii="Times New Roman" w:hAnsi="Times New Roman"/>
          <w:b/>
          <w:i w:val="0"/>
          <w:color w:val="000000"/>
          <w:sz w:val="28"/>
          <w:rFonts w:ascii="Times New Roman" w:hAnsi="Times New Roman" w:cs="Times New Roman" w:eastAsia="Times New Roman"/>
        </w:rPr>
        <w:t>Компетенции, приобретаемые в ходе освоения дисциплины:</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cantSplit/>
        </w:trPr>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Компетенции</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Индикаторы</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Знания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Умения</w:t>
            </w:r>
          </w:p>
        </w:tc>
        <w:tc>
          <w:tcPr>
            <w:tcW w:type="dxa" w:w="1938"/>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Навыки</w:t>
            </w:r>
          </w:p>
        </w:tc>
      </w:tr>
      <w:tr>
        <w:trPr>
          <w:cantSplit/>
        </w:trPr>
        <w:tc>
          <w:tcPr>
            <w:tcW w:type="dxa" w:w="1938"/>
            <w:vAlign w:val="center"/>
            <w:vMerge w:val="restart"/>
            <w:tcMar>
              <w:top w:w="100" w:type="dxa"/>
              <w:bottom w:w="100" w:type="dxa"/>
              <w:left w:w="120" w:type="dxa"/>
              <w:right w:w="120" w:type="dxa"/>
            </w:tcMa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 Способен принимать научно-обоснованные решения на основе математического моделирования и методов системного анализа</w:t>
            </w: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ПК-4.1. Знать: основы математического моделирования, системного анализа и теории принятия решений</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ПК-4.2. Уметь: применять методы математического моделирования и системного анализа в области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r>
        <w:trPr>
          <w:cantSplit/>
        </w:trPr>
        <w:tc>
          <w:tcPr>
            <w:tcW w:type="dxa" w:w="1938"/>
            <w:vAlign w:val="center"/>
            <w:vMerge/>
            <w:tcMar>
              <w:top w:w="100" w:type="dxa"/>
              <w:bottom w:w="100" w:type="dxa"/>
              <w:left w:w="120" w:type="dxa"/>
              <w:right w:w="120" w:type="dxa"/>
            </w:tcMar>
          </w:tcPr>
          <w:p/>
        </w:tc>
        <w:tc>
          <w:tcPr>
            <w:tcW w:type="dxa" w:w="1938"/>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ПК-4.3. Владеть: навыками принятия научно-обоснованных решений на основе математического моделирования и методов системного анализа в области профессиональной деятельности</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938"/>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3. Место дисциплины в структуре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относится к обязательной части Блока 1 «Дисциплины (модули)» ООП.</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Дисциплина изучается на 2 курсе(ах) в 4 семестре(ах).</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Изучение дисциплины базируется на знаниях, умениях и навыках, полученных при изучении школьной программы.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Последующие дисциплины: Знания пригодятся при изучении последующих дисциплин: Уравнения математической физики, Численные методы алгебры, Методы оптимизации, Исследование операций, Физическая культура и спорт, Теория случайных процессов и основы теории массового обслуживания, Безопасность жизнедеятельности, Компьютерные технологии математических исследований, Компьютерная графика, Основы военной подготовки, Гражданская оборона, Программирование для Интернет, Базы данных, Механика сплошных сред, Технология программирования, Математическое моделирование, Численные методы решения дифференциальных уравнений, Информационные технологии анализа и обработки данных, Экономико-математические методы, Проектирование программного обеспечения.</w:t>
      </w:r>
    </w:p>
    <w:p>
      <w:pPr>
        <w:spacing w:before="0" w:after="240" w:line="240" w:lineRule="auto"/>
      </w:pPr>
      <w:r>
        <w:rPr>
          <w:rFonts w:ascii="Times New Roman" w:hAnsi="Times New Roman"/>
          <w:b/>
          <w:i w:val="0"/>
          <w:color w:val="000000"/>
          <w:sz w:val="28"/>
          <w:rFonts w:ascii="Times New Roman" w:hAnsi="Times New Roman" w:cs="Times New Roman" w:eastAsia="Times New Roman"/>
        </w:rPr>
        <w:t>4. Структура и содержание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4.1 Структура учебной нагрузки</w:t>
      </w:r>
    </w:p>
    <w:tbl>
      <w:tblPr>
        <w:tblStyle w:val="TableGrid"/>
        <w:tblW w:type="auto" w:w="0"/>
        <w:jc w:val="center"/>
        <w:tblLook w:firstColumn="1" w:firstRow="1" w:lastColumn="0" w:lastRow="0" w:noHBand="0" w:noVBand="1" w:val="04A0"/>
      </w:tblPr>
      <w:tblGrid>
        <w:gridCol w:w="969"/>
        <w:gridCol w:w="969"/>
        <w:gridCol w:w="969"/>
        <w:gridCol w:w="969"/>
        <w:gridCol w:w="969"/>
        <w:gridCol w:w="969"/>
        <w:gridCol w:w="969"/>
        <w:gridCol w:w="969"/>
        <w:gridCol w:w="969"/>
        <w:gridCol w:w="969"/>
      </w:tblGrid>
      <w:tr>
        <w:trPr>
          <w:cantSplit/>
        </w:trPr>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 Форма промежуточной аттестации (по семестрам)</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Всего часов на раздел</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Семестр</w:t>
            </w:r>
          </w:p>
        </w:tc>
        <w:tc>
          <w:tcPr>
            <w:tcW w:type="dxa" w:w="4845"/>
            <w:vAlign w:val="center"/>
            <w:gridSpan w:val="5"/>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Распределение трудоемкости раздела (в часах) по видам учебной работы</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Содержание самостоятельной работы</w:t>
            </w: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3876"/>
            <w:vAlign w:val="center"/>
            <w:gridSpan w:val="4"/>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контактная</w:t>
            </w:r>
          </w:p>
        </w:tc>
        <w:tc>
          <w:tcPr>
            <w:tcW w:type="dxa" w:w="969"/>
            <w:vAlign w:val="center"/>
            <w:vMerge w:val="restart"/>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СРС</w:t>
            </w:r>
          </w:p>
        </w:tc>
        <w:tc>
          <w:tcPr>
            <w:tcW w:type="dxa" w:w="969"/>
            <w:vMerge/>
            <w:shd w:val="clear" w:color="auto" w:fill="F2F2F2"/>
          </w:tcPr>
          <w:p/>
        </w:tc>
      </w:tr>
      <w:tr>
        <w:trPr>
          <w:cantSplit/>
        </w:trPr>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Merge/>
            <w:shd w:val="clear" w:color="auto" w:fill="F2F2F2"/>
          </w:tcP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лек</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пр</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лаб</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18"/>
                <w:rFonts w:ascii="Times New Roman" w:hAnsi="Times New Roman" w:cs="Times New Roman" w:eastAsia="Times New Roman"/>
              </w:rPr>
              <w:t>КЧА</w:t>
            </w:r>
          </w:p>
        </w:tc>
        <w:tc>
          <w:tcPr>
            <w:tcW w:type="dxa" w:w="969"/>
            <w:vMerge/>
            <w:shd w:val="clear" w:color="auto" w:fill="F2F2F2"/>
          </w:tcPr>
          <w:p/>
        </w:tc>
        <w:tc>
          <w:tcPr>
            <w:tcW w:type="dxa" w:w="969"/>
            <w:vMerge/>
            <w:shd w:val="clear" w:color="auto" w:fill="F2F2F2"/>
          </w:tcPr>
          <w:p/>
        </w:tc>
      </w:tr>
      <w:tr>
        <w:trPr>
          <w:cantSplit/>
        </w:trPr>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2</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3</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4</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5</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6</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7</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8</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10</w:t>
            </w:r>
          </w:p>
        </w:tc>
        <w:tc>
          <w:tcPr>
            <w:tcW w:type="dxa" w:w="969"/>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val="0"/>
                <w:i w:val="0"/>
                <w:color w:val="000000"/>
                <w:sz w:val="18"/>
                <w:rFonts w:ascii="Times New Roman" w:hAnsi="Times New Roman" w:cs="Times New Roman" w:eastAsia="Times New Roman"/>
              </w:rPr>
              <w:t>11</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«Дополнительные главы математического анализа»</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37</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«Дополнительные главы математического анализа»</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53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37</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Решение практических задач и подготовка к защите практических работ</w:t>
            </w:r>
          </w:p>
        </w:tc>
      </w:tr>
      <w:tr>
        <w:trPr>
          <w:cantSplit/>
        </w:trPr>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Зачет</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0.3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1.7</w:t>
            </w: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Зачет выставляется по совокупности результатов текущего контроля успеваемости</w:t>
            </w: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 за 4 семестр:</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4</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75.7</w:t>
            </w:r>
          </w:p>
        </w:tc>
        <w:tc>
          <w:tcPr>
            <w:tcW w:type="dxa" w:w="969"/>
          </w:tcPr>
          <w:p/>
        </w:tc>
      </w:tr>
      <w:tr>
        <w:trPr>
          <w:cantSplit/>
        </w:trPr>
        <w:tc>
          <w:tcPr>
            <w:tcW w:type="dxa" w:w="969"/>
          </w:tcPr>
          <w:p/>
        </w:tc>
        <w:tc>
          <w:tcPr>
            <w:tcW w:type="dxa" w:w="969"/>
            <w:vAlign w:val="center"/>
            <w:tcMar>
              <w:top w:w="100" w:type="dxa"/>
              <w:bottom w:w="100" w:type="dxa"/>
              <w:left w:w="120" w:type="dxa"/>
              <w:right w:w="120" w:type="dxa"/>
            </w:tcMar>
          </w:tcPr>
          <w:p>
            <w:pPr>
              <w:spacing w:before="0" w:after="0" w:line="240" w:lineRule="auto"/>
              <w:jc w:val="left"/>
            </w:pPr>
            <w:r/>
            <w:r>
              <w:rPr>
                <w:rFonts w:ascii="Times New Roman" w:hAnsi="Times New Roman"/>
                <w:b/>
                <w:i w:val="0"/>
                <w:color w:val="000000"/>
                <w:sz w:val="20"/>
                <w:rFonts w:ascii="Times New Roman" w:hAnsi="Times New Roman" w:cs="Times New Roman" w:eastAsia="Times New Roman"/>
              </w:rPr>
              <w:t>Итого:</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108</w:t>
            </w:r>
          </w:p>
        </w:tc>
        <w:tc>
          <w:tcPr>
            <w:tcW w:type="dxa" w:w="969"/>
          </w:tcP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16</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0.3</w:t>
            </w:r>
          </w:p>
        </w:tc>
        <w:tc>
          <w:tcPr>
            <w:tcW w:type="dxa" w:w="969"/>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75.7</w:t>
            </w:r>
          </w:p>
        </w:tc>
        <w:tc>
          <w:tcPr>
            <w:tcW w:type="dxa" w:w="969"/>
          </w:tcP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4.2 Содержание разделов курса и формируемых в них компетенций</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trPr>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Раздел дисциплины</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Знания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Умения</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Навыки</w:t>
            </w:r>
          </w:p>
        </w:tc>
        <w:tc>
          <w:tcPr>
            <w:tcW w:type="dxa" w:w="138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Форма контроля</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Введение в предметную область «Дополнительные главы математического анализа»</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ПК-4.1</w:t>
              <w:br/>
              <w:t>ПК-4.2</w:t>
              <w:br/>
              <w:t>ПК-4.3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r>
        <w:trPr>
          <w:cantSplit/>
        </w:trPr>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Основной прикладной раздел «Дополнительные главы математического анализа»</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ПК-4.1</w:t>
              <w:br/>
              <w:t>ПК-4.2</w:t>
              <w:br/>
              <w:t>ПК-4.3</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З1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У1</w:t>
            </w:r>
          </w:p>
        </w:tc>
        <w:tc>
          <w:tcPr>
            <w:tcW w:type="dxa" w:w="138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Н1</w:t>
            </w:r>
          </w:p>
        </w:tc>
        <w:tc>
          <w:tcPr>
            <w:tcW w:type="dxa" w:w="1384"/>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4.3 Наименование тем лекций,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лекций</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1. Раздел Дополнительные главы математического анализа</w:t>
              <w:br/>
              <w:t>Содержание: Вводный обзор дисциплины.</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Тема лекции 2. Применение Дополнительные главы математического анализа</w:t>
              <w:br/>
              <w:t>Содержание: Специфика практической реализации.</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4.4 Наименование тем практических занятий, их содержание и объем в часах</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раздела</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Наименование практических работ</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Трудоемкость (час)</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1. Базовые концепции Дополнительные главы математического анализа</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5669"/>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Семинар 2. Решение кейсов Дополнительные главы математического анализа</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8</w:t>
            </w:r>
          </w:p>
        </w:tc>
      </w:tr>
    </w:tbl>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5. Оценочные материалы для текущего контроля успеваемости и промежуточной аттестации по дисциплине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Для контроля результатов освоения дисциплины проводятся: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 защиты практических работ.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Примечание: детальные оценочные материалы (варианты заданий, тесты, контрольные вопросы) приведены в Приложении к настоящей рабочей программе дисциплины.</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6.  Учебно-методическое и информационное обеспечение дисциплины:</w:t>
      </w:r>
    </w:p>
    <w:p>
      <w:pPr>
        <w:spacing w:before="0" w:after="120" w:line="240" w:lineRule="auto"/>
      </w:pPr>
      <w:r>
        <w:rPr>
          <w:rFonts w:ascii="Times New Roman" w:hAnsi="Times New Roman"/>
          <w:b/>
          <w:i w:val="0"/>
          <w:color w:val="000000"/>
          <w:sz w:val="28"/>
          <w:rFonts w:ascii="Times New Roman" w:hAnsi="Times New Roman" w:cs="Times New Roman" w:eastAsia="Times New Roman"/>
        </w:rPr>
        <w:t>а) основная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Иванов И.И. Теоретические основы курса «Дополнительные главы математического анализа»: учебник для вузов. — Москва: IPR SMART, 2024. — 320 c. — URL: https://www.iprbookshop.ru/115123.html.</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Петров П.П. Практическое руководство по дисциплине «Дополнительные главы математического анализа»: учебное пособие. — Саратов: ВУЗ-Издат, 2023. — 150 c. — URL: https://www.iprbookshop.ru/124321.html.</w:t>
      </w:r>
    </w:p>
    <w:p>
      <w:pPr>
        <w:spacing w:before="0" w:after="120" w:line="240" w:lineRule="auto"/>
      </w:pPr>
      <w:r>
        <w:rPr>
          <w:rFonts w:ascii="Times New Roman" w:hAnsi="Times New Roman"/>
          <w:b/>
          <w:i w:val="0"/>
          <w:color w:val="000000"/>
          <w:sz w:val="28"/>
          <w:rFonts w:ascii="Times New Roman" w:hAnsi="Times New Roman" w:cs="Times New Roman" w:eastAsia="Times New Roman"/>
        </w:rPr>
        <w:t>б) дополнительная литература:</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Сидоров С.С. Архитектура и проектирование решений «Дополнительные главы математического анализа». — Санкт-Петербург: Наука, 2022. — 200 c.</w:t>
      </w:r>
    </w:p>
    <w:p>
      <w:pPr>
        <w:spacing w:before="0" w:after="120" w:line="240" w:lineRule="auto"/>
      </w:pPr>
      <w:r>
        <w:rPr>
          <w:rFonts w:ascii="Times New Roman" w:hAnsi="Times New Roman"/>
          <w:b/>
          <w:i w:val="0"/>
          <w:color w:val="000000"/>
          <w:sz w:val="28"/>
          <w:rFonts w:ascii="Times New Roman" w:hAnsi="Times New Roman" w:cs="Times New Roman" w:eastAsia="Times New Roman"/>
        </w:rPr>
        <w:t>в) методические указания: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Методические указания к лабораторным работам по «Дополнительные главы математического анализа» / сост. Кафедра информационных технологий, 2025.</w:t>
      </w:r>
    </w:p>
    <w:p>
      <w:pPr>
        <w:spacing w:before="0" w:after="120" w:line="240" w:lineRule="auto"/>
      </w:pPr>
      <w:r>
        <w:rPr>
          <w:rFonts w:ascii="Times New Roman" w:hAnsi="Times New Roman"/>
          <w:b/>
          <w:i w:val="0"/>
          <w:color w:val="000000"/>
          <w:sz w:val="28"/>
          <w:rFonts w:ascii="Times New Roman" w:hAnsi="Times New Roman" w:cs="Times New Roman" w:eastAsia="Times New Roman"/>
        </w:rPr>
        <w:t>г) перечень ресурсов информационно-коммуникационной сети Интернет:</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Электронный библиотечный каталог — http://istu.ru</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Российское образование — https://edu.ru</w:t>
      </w:r>
    </w:p>
    <w:p>
      <w:pPr>
        <w:spacing w:before="0" w:after="120" w:line="240" w:lineRule="auto"/>
      </w:pPr>
      <w:r>
        <w:rPr>
          <w:rFonts w:ascii="Times New Roman" w:hAnsi="Times New Roman"/>
          <w:b/>
          <w:i w:val="0"/>
          <w:color w:val="000000"/>
          <w:sz w:val="28"/>
          <w:rFonts w:ascii="Times New Roman" w:hAnsi="Times New Roman" w:cs="Times New Roman" w:eastAsia="Times New Roman"/>
        </w:rPr>
        <w:t>д) лицензионное и свободно распространяемое программное обеспечение:</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Операционная система семейства Linux / MS Windows</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Офисный пакет (Microsoft Office / LibreOffice)</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Doctor Web Enterprise Suite (Лицензия № 116663324)</w:t>
      </w:r>
    </w:p>
    <w:p>
      <w:pPr>
        <w:spacing w:before="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7. Материально-техническое обеспечение дисциплины:</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Лекционные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Учебные аудитории для лекционных занятий укомплектованы специализированной мебелью и техническими средствами обучения (мультимедийный проектор, экран, персональный компьютер).</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Практические и лабораторные занятия: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Лаборатории и компьютерные классы оснащены персональными компьютерами (ПЭВМ) с возможностью выхода в Интернет и доступом к локальной электронно-образовательной среде ИжГТУ.</w:t>
      </w:r>
    </w:p>
    <w:p>
      <w:pPr>
        <w:spacing w:before="0" w:after="120" w:line="240" w:lineRule="auto"/>
      </w:pPr>
    </w:p>
    <w:p>
      <w:pPr>
        <w:spacing w:before="0" w:after="120" w:line="240" w:lineRule="auto"/>
      </w:pPr>
      <w:r>
        <w:rPr>
          <w:rFonts w:ascii="Times New Roman" w:hAnsi="Times New Roman"/>
          <w:b w:val="0"/>
          <w:i w:val="0"/>
          <w:color w:val="000000"/>
          <w:sz w:val="28"/>
          <w:rFonts w:ascii="Times New Roman" w:hAnsi="Times New Roman" w:cs="Times New Roman" w:eastAsia="Times New Roman"/>
        </w:rPr>
        <w:t>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 Для этого требуется письменное заявление студента и заключение ПМПК.</w:t>
      </w:r>
    </w:p>
    <w:p>
      <w:r>
        <w:br w:type="page"/>
      </w:r>
    </w:p>
    <w:p>
      <w:pPr>
        <w:spacing w:before="0" w:after="240" w:line="240" w:lineRule="auto"/>
        <w:jc w:val="center"/>
      </w:pPr>
      <w:r>
        <w:rPr>
          <w:rFonts w:ascii="Times New Roman" w:hAnsi="Times New Roman"/>
          <w:b/>
          <w:i w:val="0"/>
          <w:color w:val="000000"/>
          <w:sz w:val="28"/>
          <w:rFonts w:ascii="Times New Roman" w:hAnsi="Times New Roman" w:cs="Times New Roman" w:eastAsia="Times New Roman"/>
        </w:rPr>
        <w:t>Лист согласования рабочей программы дисциплины на учебный год</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Рабочая программа дисциплины «Дополнительные главы математического анализа» по направлению подготовки 01.03.04 Прикладная математика согласована на ведение учебного процесса: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Учебный год</w:t>
            </w:r>
          </w:p>
        </w:tc>
        <w:tc>
          <w:tcPr>
            <w:tcW w:type="dxa" w:w="4844"/>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2"/>
                <w:rFonts w:ascii="Times New Roman" w:hAnsi="Times New Roman" w:cs="Times New Roman" w:eastAsia="Times New Roman"/>
              </w:rPr>
              <w:t>«Согласовано»: И.о. зав. кафедрой, ответственной за РПД (подпись и дата)</w:t>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2026-2027</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2027-2028</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2028-2029</w:t>
            </w:r>
          </w:p>
        </w:tc>
        <w:tc>
          <w:tcPr>
            <w:tcW w:type="dxa" w:w="4844"/>
            <w:vAlign w:val="center"/>
            <w:tcMar>
              <w:top w:w="100" w:type="dxa"/>
              <w:bottom w:w="100" w:type="dxa"/>
              <w:left w:w="120" w:type="dxa"/>
              <w:right w:w="120" w:type="dxa"/>
            </w:tcMar>
          </w:tcPr>
          <w:p>
            <w:pPr>
              <w:spacing w:before="0" w:after="0" w:line="240" w:lineRule="auto"/>
              <w:jc w:val="left"/>
            </w:pPr>
            <w:r/>
          </w:p>
        </w:tc>
      </w:tr>
      <w:tr>
        <w:trPr>
          <w:cantSplit/>
        </w:trPr>
        <w:tc>
          <w:tcPr>
            <w:tcW w:type="dxa" w:w="4844"/>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2"/>
                <w:rFonts w:ascii="Times New Roman" w:hAnsi="Times New Roman" w:cs="Times New Roman" w:eastAsia="Times New Roman"/>
              </w:rPr>
              <w:t>2029-2030</w:t>
            </w:r>
          </w:p>
        </w:tc>
        <w:tc>
          <w:tcPr>
            <w:tcW w:type="dxa" w:w="4844"/>
            <w:vAlign w:val="center"/>
            <w:tcMar>
              <w:top w:w="100" w:type="dxa"/>
              <w:bottom w:w="100" w:type="dxa"/>
              <w:left w:w="120" w:type="dxa"/>
              <w:right w:w="120" w:type="dxa"/>
            </w:tcMar>
          </w:tcPr>
          <w:p>
            <w:pPr>
              <w:spacing w:before="0" w:after="0" w:line="240" w:lineRule="auto"/>
              <w:jc w:val="left"/>
            </w:pPr>
            <w:r/>
          </w:p>
        </w:tc>
      </w:tr>
    </w:tbl>
    <w:p>
      <w:r>
        <w:br w:type="page"/>
      </w:r>
    </w:p>
    <w:p>
      <w:pPr>
        <w:spacing w:before="0" w:after="480" w:line="240" w:lineRule="auto"/>
        <w:jc w:val="right"/>
      </w:pPr>
      <w:r>
        <w:rPr>
          <w:rFonts w:ascii="Times New Roman" w:hAnsi="Times New Roman"/>
          <w:b w:val="0"/>
          <w:i/>
          <w:color w:val="000000"/>
          <w:sz w:val="28"/>
          <w:rFonts w:ascii="Times New Roman" w:hAnsi="Times New Roman" w:cs="Times New Roman" w:eastAsia="Times New Roman"/>
        </w:rPr>
        <w:t>Приложение к рабочей программе дисциплины</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МИНОБРНАУКИ РОССИИ</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Федеральное государственное бюджетное образовательное учреждение высшего образования</w:t>
      </w:r>
    </w:p>
    <w:p>
      <w:pPr>
        <w:spacing w:before="0" w:after="720" w:line="240" w:lineRule="auto"/>
        <w:jc w:val="center"/>
      </w:pPr>
      <w:r>
        <w:rPr>
          <w:rFonts w:ascii="Times New Roman" w:hAnsi="Times New Roman"/>
          <w:b/>
          <w:i w:val="0"/>
          <w:color w:val="000000"/>
          <w:sz w:val="28"/>
          <w:rFonts w:ascii="Times New Roman" w:hAnsi="Times New Roman" w:cs="Times New Roman" w:eastAsia="Times New Roman"/>
        </w:rPr>
        <w:t>«Ижевский государственный технический университет имени М.Т. Калашникова»</w:t>
      </w:r>
    </w:p>
    <w:p>
      <w:pPr>
        <w:spacing w:before="0" w:after="120" w:line="240" w:lineRule="auto"/>
        <w:jc w:val="center"/>
      </w:pPr>
      <w:r>
        <w:rPr>
          <w:rFonts w:ascii="Times New Roman" w:hAnsi="Times New Roman"/>
          <w:b/>
          <w:i w:val="0"/>
          <w:color w:val="000000"/>
          <w:sz w:val="28"/>
          <w:rFonts w:ascii="Times New Roman" w:hAnsi="Times New Roman" w:cs="Times New Roman" w:eastAsia="Times New Roman"/>
        </w:rPr>
        <w:t>Оценочные средства по дисциплине</w:t>
      </w:r>
    </w:p>
    <w:p>
      <w:pPr>
        <w:spacing w:before="0" w:after="480" w:line="240" w:lineRule="auto"/>
        <w:jc w:val="center"/>
      </w:pPr>
      <w:r>
        <w:rPr>
          <w:rFonts w:ascii="Times New Roman" w:hAnsi="Times New Roman"/>
          <w:b/>
          <w:i w:val="0"/>
          <w:color w:val="000000"/>
          <w:sz w:val="28"/>
          <w:rFonts w:ascii="Times New Roman" w:hAnsi="Times New Roman" w:cs="Times New Roman" w:eastAsia="Times New Roman"/>
        </w:rPr>
        <w:t>Дополнительные главы математического анализа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направление (специальность) 01.03.04 Прикладная математика</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направленность (профиль) Применение математических методов и программных средств для решения инженерных и экономических задач</w:t>
      </w:r>
    </w:p>
    <w:p>
      <w:pPr>
        <w:spacing w:before="0" w:after="120" w:line="240" w:lineRule="auto"/>
        <w:jc w:val="center"/>
      </w:pPr>
      <w:r>
        <w:rPr>
          <w:rFonts w:ascii="Times New Roman" w:hAnsi="Times New Roman"/>
          <w:b w:val="0"/>
          <w:i w:val="0"/>
          <w:color w:val="000000"/>
          <w:sz w:val="28"/>
          <w:rFonts w:ascii="Times New Roman" w:hAnsi="Times New Roman" w:cs="Times New Roman" w:eastAsia="Times New Roman"/>
        </w:rPr>
        <w:t>уровень образования: бакалавр</w:t>
      </w:r>
    </w:p>
    <w:p>
      <w:pPr>
        <w:spacing w:before="0" w:after="360" w:line="240" w:lineRule="auto"/>
        <w:jc w:val="center"/>
      </w:pPr>
      <w:r>
        <w:rPr>
          <w:rFonts w:ascii="Times New Roman" w:hAnsi="Times New Roman"/>
          <w:b w:val="0"/>
          <w:i w:val="0"/>
          <w:color w:val="000000"/>
          <w:sz w:val="28"/>
          <w:rFonts w:ascii="Times New Roman" w:hAnsi="Times New Roman" w:cs="Times New Roman" w:eastAsia="Times New Roman"/>
        </w:rPr>
        <w:t>форма обучения: Очная</w:t>
      </w:r>
    </w:p>
    <w:p>
      <w:r>
        <w:br w:type="page"/>
      </w:r>
    </w:p>
    <w:p>
      <w:pPr>
        <w:spacing w:before="0" w:after="240" w:line="240" w:lineRule="auto"/>
      </w:pPr>
      <w:r>
        <w:rPr>
          <w:rFonts w:ascii="Times New Roman" w:hAnsi="Times New Roman"/>
          <w:b/>
          <w:i w:val="0"/>
          <w:color w:val="000000"/>
          <w:sz w:val="28"/>
          <w:rFonts w:ascii="Times New Roman" w:hAnsi="Times New Roman" w:cs="Times New Roman" w:eastAsia="Times New Roman"/>
        </w:rPr>
        <w:t>1. Оценочные средства</w:t>
      </w:r>
    </w:p>
    <w:tbl>
      <w:tblPr>
        <w:tblStyle w:val="TableGrid"/>
        <w:tblW w:type="auto" w:w="0"/>
        <w:jc w:val="center"/>
        <w:tblLook w:firstColumn="1" w:firstRow="1" w:lastColumn="0" w:lastRow="0" w:noHBand="0" w:noVBand="1" w:val="04A0"/>
      </w:tblPr>
      <w:tblGrid>
        <w:gridCol w:w="2422"/>
        <w:gridCol w:w="2422"/>
        <w:gridCol w:w="2422"/>
        <w:gridCol w:w="2422"/>
      </w:tblGrid>
      <w:tr>
        <w:trPr>
          <w:tblHeader/>
        </w:trPr>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 п/п</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Коды компетенций и индикаторов</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Результат обучения (знания, умения и навыки)</w:t>
            </w:r>
          </w:p>
        </w:tc>
        <w:tc>
          <w:tcPr>
            <w:tcW w:type="dxa" w:w="2422"/>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0"/>
                <w:rFonts w:ascii="Times New Roman" w:hAnsi="Times New Roman" w:cs="Times New Roman" w:eastAsia="Times New Roman"/>
              </w:rPr>
              <w:t>Формы текущего и промежуточного контроля</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1</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ПК-4.1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ПК-4.1.</w:t>
              <w:br/>
              <w:t>У1: Уметь использовать практические инструменты в контексте ПК-4.1.</w:t>
              <w:br/>
              <w:t>Н1: Владеть навыками анализа данных и принятия решений в рамках ПК-4.1.</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2</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ПК-4.2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ПК-4.2.</w:t>
              <w:br/>
              <w:t>У1: Уметь использовать практические инструменты в контексте ПК-4.2.</w:t>
              <w:br/>
              <w:t>Н1: Владеть навыками анализа данных и принятия решений в рамках ПК-4.2.</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r>
        <w:trPr>
          <w:cantSplit/>
        </w:trPr>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3</w:t>
            </w:r>
          </w:p>
        </w:tc>
        <w:tc>
          <w:tcPr>
            <w:tcW w:type="dxa" w:w="2422"/>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0"/>
                <w:rFonts w:ascii="Times New Roman" w:hAnsi="Times New Roman" w:cs="Times New Roman" w:eastAsia="Times New Roman"/>
              </w:rPr>
              <w:t>ПК-4.3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18"/>
                <w:rFonts w:ascii="Times New Roman" w:hAnsi="Times New Roman" w:cs="Times New Roman" w:eastAsia="Times New Roman"/>
              </w:rPr>
              <w:t>З1: Знать базовые принципы и терминологию, относящиеся к ПК-4.3.</w:t>
              <w:br/>
              <w:t>У1: Уметь использовать практические инструменты в контексте ПК-4.3.</w:t>
              <w:br/>
              <w:t>Н1: Владеть навыками анализа данных и принятия решений в рамках ПК-4.3.</w:t>
            </w:r>
          </w:p>
        </w:tc>
        <w:tc>
          <w:tcPr>
            <w:tcW w:type="dxa" w:w="2422"/>
            <w:vAlign w:val="center"/>
            <w:tcMar>
              <w:top w:w="100" w:type="dxa"/>
              <w:bottom w:w="100" w:type="dxa"/>
              <w:left w:w="120" w:type="dxa"/>
              <w:right w:w="120" w:type="dxa"/>
            </w:tcMar>
          </w:tcPr>
          <w:p>
            <w:pPr>
              <w:spacing w:before="0" w:after="0" w:line="240" w:lineRule="auto"/>
              <w:jc w:val="left"/>
            </w:pPr>
            <w:r/>
            <w:r>
              <w:rPr>
                <w:rFonts w:ascii="Times New Roman" w:hAnsi="Times New Roman"/>
                <w:b w:val="0"/>
                <w:i w:val="0"/>
                <w:color w:val="000000"/>
                <w:sz w:val="20"/>
                <w:rFonts w:ascii="Times New Roman" w:hAnsi="Times New Roman" w:cs="Times New Roman" w:eastAsia="Times New Roman"/>
              </w:rPr>
              <w:t>Защита практических работ</w:t>
            </w:r>
          </w:p>
        </w:tc>
      </w:tr>
    </w:tbl>
    <w:p>
      <w:pPr>
        <w:spacing w:before="0" w:after="120" w:line="240" w:lineRule="auto"/>
      </w:pPr>
    </w:p>
    <w:p>
      <w:pPr>
        <w:spacing w:before="0" w:after="120" w:line="240" w:lineRule="auto"/>
      </w:pPr>
      <w:r>
        <w:rPr>
          <w:rFonts w:ascii="Times New Roman" w:hAnsi="Times New Roman"/>
          <w:b/>
          <w:i w:val="0"/>
          <w:color w:val="000000"/>
          <w:sz w:val="28"/>
          <w:rFonts w:ascii="Times New Roman" w:hAnsi="Times New Roman" w:cs="Times New Roman" w:eastAsia="Times New Roman"/>
        </w:rPr>
        <w:t>Наименование: проверочный тест</w:t>
      </w:r>
    </w:p>
    <w:p>
      <w:pPr>
        <w:spacing w:before="0" w:after="120" w:line="240" w:lineRule="auto"/>
      </w:pPr>
      <w:r>
        <w:rPr>
          <w:rFonts w:ascii="Times New Roman" w:hAnsi="Times New Roman"/>
          <w:b w:val="0"/>
          <w:i/>
          <w:color w:val="000000"/>
          <w:sz w:val="28"/>
          <w:rFonts w:ascii="Times New Roman" w:hAnsi="Times New Roman" w:cs="Times New Roman" w:eastAsia="Times New Roman"/>
        </w:rPr>
        <w:t>Представление в ФОС: набор вопросов для проведения тестирования</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1. Что является главным объектом изучения дисциплины «Дополнительные главы математического анализа»?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Теоретические концепции и базовые определения дисциплины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Вспомогательные инструменты сторонних предметных областей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Программные методы без привязки к теоретическому базису</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Организационно-правовые аспекты деятельности сторонних ведомств</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2. Какой метод наиболее часто применяется в рамках «Дополнительные главы математического анализа»?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Метод субъективных экспертных допущений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Системный анализ и комплексное моделирование процессов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Случайный подбор экспериментальных параметров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Интуитивный подход к проектированию систем</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3. Что представляет собой методология предметной области?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Хаотичный набор практических рекомендаций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Система принципов и способов организации теоретической и практической деятельности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Второстепенный раздел учебной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Субъективное видение процесса разработки</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4. Какой результат освоения дисциплины «Дополнительные главы математического анализа» является приоритетным?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Отказ от использования современных инструментальных средств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Способность эффективно решать профессиональные задачи на основе полученных знаний и умений</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Изучение только теоретических аспектов без практической применимости</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Ориентация исключительно на исторический опыт ведения разработок</w:t>
      </w:r>
    </w:p>
    <w:p>
      <w:pPr>
        <w:spacing w:before="0" w:after="120" w:line="240" w:lineRule="auto"/>
      </w:pPr>
      <w:r>
        <w:rPr>
          <w:rFonts w:ascii="Times New Roman" w:hAnsi="Times New Roman"/>
          <w:b w:val="0"/>
          <w:i w:val="0"/>
          <w:color w:val="000000"/>
          <w:sz w:val="28"/>
          <w:rFonts w:ascii="Times New Roman" w:hAnsi="Times New Roman" w:cs="Times New Roman" w:eastAsia="Times New Roman"/>
        </w:rPr>
        <w:t>5. Какие требования предъявляются к уровню освоения учебного материала?</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1) Поверхностное ознакомление без закрепления практических навыков</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2) Отказ от самостоятельного выполнения разделов программы</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3) Формирование компетенций, установленных государственным образовательным стандартом</w:t>
      </w:r>
    </w:p>
    <w:p>
      <w:pPr>
        <w:spacing w:before="40" w:after="40" w:line="240" w:lineRule="auto"/>
      </w:pPr>
      <w:r>
        <w:rPr>
          <w:rFonts w:ascii="Times New Roman" w:hAnsi="Times New Roman"/>
          <w:b w:val="0"/>
          <w:i w:val="0"/>
          <w:color w:val="000000"/>
          <w:sz w:val="28"/>
          <w:rFonts w:ascii="Times New Roman" w:hAnsi="Times New Roman" w:cs="Times New Roman" w:eastAsia="Times New Roman"/>
        </w:rPr>
        <w:t xml:space="preserve">   4) Оценка успеваемости на основе случайного распределения баллов</w:t>
      </w:r>
    </w:p>
    <w:p>
      <w:pPr>
        <w:spacing w:before="240" w:after="120" w:line="240" w:lineRule="auto"/>
      </w:pPr>
      <w:r>
        <w:rPr>
          <w:rFonts w:ascii="Times New Roman" w:hAnsi="Times New Roman"/>
          <w:b/>
          <w:i w:val="0"/>
          <w:color w:val="000000"/>
          <w:sz w:val="28"/>
          <w:rFonts w:ascii="Times New Roman" w:hAnsi="Times New Roman" w:cs="Times New Roman" w:eastAsia="Times New Roman"/>
        </w:rPr>
        <w:t>Ключи теста: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Вопрос</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3</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4</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5</w:t>
            </w:r>
          </w:p>
        </w:tc>
      </w:tr>
      <w:tr>
        <w:tc>
          <w:tcPr>
            <w:tcW w:type="dxa" w:w="1615"/>
            <w:vAlign w:val="center"/>
            <w:tcMar>
              <w:top w:w="100" w:type="dxa"/>
              <w:bottom w:w="100" w:type="dxa"/>
              <w:left w:w="120" w:type="dxa"/>
              <w:right w:w="120" w:type="dxa"/>
            </w:tcMar>
            <w:shd w:val="clear" w:color="auto" w:fill="F2F2F2"/>
          </w:tcPr>
          <w:p>
            <w:pPr>
              <w:spacing w:before="0" w:after="0" w:line="240" w:lineRule="auto"/>
              <w:jc w:val="center"/>
            </w:pPr>
            <w:r/>
            <w:r>
              <w:rPr>
                <w:rFonts w:ascii="Times New Roman" w:hAnsi="Times New Roman"/>
                <w:b/>
                <w:i w:val="0"/>
                <w:color w:val="000000"/>
                <w:sz w:val="24"/>
                <w:rFonts w:ascii="Times New Roman" w:hAnsi="Times New Roman" w:cs="Times New Roman" w:eastAsia="Times New Roman"/>
              </w:rPr>
              <w:t>Ответ</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1</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2</w:t>
            </w:r>
          </w:p>
        </w:tc>
        <w:tc>
          <w:tcPr>
            <w:tcW w:type="dxa" w:w="1615"/>
            <w:vAlign w:val="center"/>
            <w:tcMar>
              <w:top w:w="100" w:type="dxa"/>
              <w:bottom w:w="100" w:type="dxa"/>
              <w:left w:w="120" w:type="dxa"/>
              <w:right w:w="120" w:type="dxa"/>
            </w:tcMar>
          </w:tcPr>
          <w:p>
            <w:pPr>
              <w:spacing w:before="0" w:after="0" w:line="240" w:lineRule="auto"/>
              <w:jc w:val="center"/>
            </w:pPr>
            <w:r/>
            <w:r>
              <w:rPr>
                <w:rFonts w:ascii="Times New Roman" w:hAnsi="Times New Roman"/>
                <w:b w:val="0"/>
                <w:i w:val="0"/>
                <w:color w:val="000000"/>
                <w:sz w:val="24"/>
                <w:rFonts w:ascii="Times New Roman" w:hAnsi="Times New Roman" w:cs="Times New Roman" w:eastAsia="Times New Roman"/>
              </w:rPr>
              <w:t>3</w:t>
            </w:r>
          </w:p>
        </w:tc>
      </w:tr>
    </w:tbl>
    <w:p>
      <w:pPr>
        <w:spacing w:before="360" w:after="120" w:line="240" w:lineRule="auto"/>
      </w:pPr>
    </w:p>
    <w:p>
      <w:pPr>
        <w:spacing w:before="0" w:after="240" w:line="240" w:lineRule="auto"/>
      </w:pPr>
      <w:r>
        <w:rPr>
          <w:rFonts w:ascii="Times New Roman" w:hAnsi="Times New Roman"/>
          <w:b/>
          <w:i w:val="0"/>
          <w:color w:val="000000"/>
          <w:sz w:val="28"/>
          <w:rFonts w:ascii="Times New Roman" w:hAnsi="Times New Roman" w:cs="Times New Roman" w:eastAsia="Times New Roman"/>
        </w:rPr>
        <w:t>Пример экзаменационного билета:</w:t>
      </w:r>
    </w:p>
    <w:tbl>
      <w:tblPr>
        <w:tblStyle w:val="TableGrid"/>
        <w:tblW w:type="auto" w:w="0"/>
        <w:jc w:val="center"/>
        <w:tblLook w:firstColumn="1" w:firstRow="1" w:lastColumn="0" w:lastRow="0" w:noHBand="0" w:noVBand="1" w:val="04A0"/>
      </w:tblPr>
      <w:tblGrid>
        <w:gridCol w:w="9689"/>
      </w:tblGrid>
      <w:tr>
        <w:trPr>
          <w:cantSplit/>
        </w:trPr>
        <w:tc>
          <w:tcPr>
            <w:tcW w:type="dxa" w:w="8504"/>
          </w:tcPr>
          <w:p>
            <w:pPr>
              <w:jc w:val="center"/>
            </w:pPr>
            <w:r>
              <w:rPr>
                <w:rFonts w:ascii="Times New Roman" w:hAnsi="Times New Roman"/>
                <w:b w:val="0"/>
                <w:i w:val="0"/>
                <w:color w:val="000000"/>
                <w:sz w:val="18"/>
                <w:rFonts w:ascii="Times New Roman" w:hAnsi="Times New Roman" w:cs="Times New Roman" w:eastAsia="Times New Roman"/>
              </w:rPr>
              <w:t>ФГБОУ ВО «Ижевский государственный технический университет имени М.Т. Калашникова»</w:t>
              <w:br/>
              <w:br/>
            </w:r>
            <w:r>
              <w:rPr>
                <w:rFonts w:ascii="Times New Roman" w:hAnsi="Times New Roman"/>
                <w:b/>
                <w:i w:val="0"/>
                <w:color w:val="000000"/>
                <w:sz w:val="24"/>
                <w:rFonts w:ascii="Times New Roman" w:hAnsi="Times New Roman" w:cs="Times New Roman" w:eastAsia="Times New Roman"/>
              </w:rPr>
              <w:t>ЭКЗАМЕНАЦИОННЫЙ БИЛЕТ № 1</w:t>
              <w:br/>
            </w:r>
            <w:r>
              <w:rPr>
                <w:rFonts w:ascii="Times New Roman" w:hAnsi="Times New Roman"/>
                <w:b w:val="0"/>
                <w:i/>
                <w:color w:val="000000"/>
                <w:sz w:val="20"/>
                <w:rFonts w:ascii="Times New Roman" w:hAnsi="Times New Roman" w:cs="Times New Roman" w:eastAsia="Times New Roman"/>
              </w:rPr>
              <w:t>по дисциплине «Дополнительные главы математического анализа»</w:t>
              <w:br/>
              <w:t>для направления 01.03.04 «Прикладная математика»</w:t>
              <w:br/>
              <w:br/>
            </w:r>
            <w:r>
              <w:rPr>
                <w:rFonts w:ascii="Times New Roman" w:hAnsi="Times New Roman"/>
                <w:b w:val="0"/>
                <w:i w:val="0"/>
                <w:color w:val="000000"/>
                <w:sz w:val="22"/>
                <w:rFonts w:ascii="Times New Roman" w:hAnsi="Times New Roman" w:cs="Times New Roman" w:eastAsia="Times New Roman"/>
              </w:rPr>
              <w:t>1. Объясните ключевые понятия дисциплины «Дополнительные главы математического анализа».</w:t>
              <w:br/>
            </w:r>
            <w:r>
              <w:rPr>
                <w:rFonts w:ascii="Times New Roman" w:hAnsi="Times New Roman"/>
                <w:b w:val="0"/>
                <w:i w:val="0"/>
                <w:color w:val="000000"/>
                <w:sz w:val="22"/>
                <w:rFonts w:ascii="Times New Roman" w:hAnsi="Times New Roman" w:cs="Times New Roman" w:eastAsia="Times New Roman"/>
              </w:rPr>
              <w:t>2. Опишите структуру и цели изучаемых методов.</w:t>
              <w:br/>
            </w:r>
            <w:r>
              <w:rPr>
                <w:rFonts w:ascii="Times New Roman" w:hAnsi="Times New Roman"/>
                <w:b w:val="0"/>
                <w:i w:val="0"/>
                <w:color w:val="000000"/>
                <w:sz w:val="22"/>
                <w:rFonts w:ascii="Times New Roman" w:hAnsi="Times New Roman" w:cs="Times New Roman" w:eastAsia="Times New Roman"/>
              </w:rPr>
              <w:t>3. Сформулируйте критерии эффективности примененных подходов.</w:t>
              <w:br/>
            </w:r>
            <w:r>
              <w:rPr>
                <w:rFonts w:ascii="Times New Roman" w:hAnsi="Times New Roman"/>
                <w:b w:val="0"/>
                <w:i/>
                <w:color w:val="000000"/>
                <w:sz w:val="18"/>
                <w:rFonts w:ascii="Times New Roman" w:hAnsi="Times New Roman" w:cs="Times New Roman" w:eastAsia="Times New Roman"/>
              </w:rPr>
              <w:br/>
              <w:t>Билет рассмотрен на заседании кафедры ПМиИТ от «____» _______________ 2026 г.</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