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Введение в профессиональную деятельность</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288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2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jc w:val="both"/>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Составитель: Русяк Иван Григорьевич, д.т.н., профессор</w:t>
      </w:r>
    </w:p>
    <w:p>
      <w:pPr>
        <w:spacing w:before="0" w:after="24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jc w:val="both"/>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br/>
        <w:t>01.00.00 «Математика и механика» от «____» 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br/>
        <w:t>01.00.00 «Математика и механика» _________________ В.Г. Суфиянов</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Введение в профессиональную деятельность</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Часть, формируемая участниками образовательных отношений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2 з.е. / 72 часов</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«Введение в профессиональную деятельность».</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ПК-5. Способен самостоятельно изучать новые разделы фундаментальных и прикладных наук</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«Введение в профессиональную деятельность»</w:t>
              <w:br/>
              <w:t>Раздел 2. Основной прикладной раздел «Введение в профессиональную деятельность»</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Зачет (4 семестр)</w:t>
            </w:r>
          </w:p>
        </w:tc>
      </w:tr>
    </w:tbl>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«Введение в профессиональную деятельность».</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«Введение в профессиональную деятельность».</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«Введение в профессиональную деятельность».</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Знания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Синтаксис и семантика алгоритмического языка программирования, принципы и методология построения систем по курсу «Введение в профессиональную деятельность»</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Концепции и идеи объектно-ориентированного программирования и проектирования программных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Технология работы на ПК в современных операционных средах, основные методы разработки эффективных структур данных</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Умения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Формализовать прикладную задачу, выбирать для неё подходящие структуры данных и алгоритмы обработки в «Введение в профессиональную деятельность»</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Программировать прикладные алгоритмы, используя программные средства языков высокого уровня; разрабатывать тесты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Проектировать программные компоненты IT-систем и модули обработки информации</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Навыки</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Использовать современные математические методы и программные средства для решения задач науки, образования и бизнеса</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Реализовать идеи объектно-ориентированного подхода и паттернов проектирования в предметной области «Введение в профессиональную деятельность»</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Применять современные цифровые технологии моделирования, алгоритмизации и оптимизации бизнес-процессов</w:t>
            </w:r>
          </w:p>
        </w:tc>
      </w:tr>
    </w:tbl>
    <w:p>
      <w:pPr>
        <w:spacing w:before="360" w:after="120" w:line="240" w:lineRule="auto"/>
        <w:jc w:val="both"/>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ПК-5. Способен самостоятельно изучать новые разделы фундаментальных и прикладных наук</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ПК-5.1. Знать: фундаментальные основы и прикладные аспекты построения математических моделей технических и социально-экономических систем</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ПК-5.2. Уметь: самостоятельно разрабатывать математические модели технических и социально-экономических систем</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ПК-5.3. Владеть: навыками самостоятельного изучения новых разделов фундаментальных и прикладных наук</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«Введение в профессиональную деятельность»</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35.0</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19.0</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«Введение в профессиональную деятельность»</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35.0</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19.0</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Зачет</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1.7</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Зачет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71.2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38.9</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71.2</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38.9</w:t>
            </w:r>
          </w:p>
        </w:tc>
        <w:tc>
          <w:tcPr>
            <w:tcW w:type="dxa" w:w="969"/>
          </w:tcP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«Введение в профессиональную деятельность»</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ПК-5.1</w:t>
              <w:br/>
              <w:t>ПК-5.2</w:t>
              <w:br/>
              <w:t>ПК-5.3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«Введение в профессиональную деятельность»</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ПК-5.1</w:t>
              <w:br/>
              <w:t>ПК-5.2</w:t>
              <w:br/>
              <w:t>ПК-5.3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1. Раздел Введение в профессиональную деятельность</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2. Применение Введение в профессиональную деятельность</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Семинар 1. Базовые концепции Введение в профессиональную деятельность</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Семинар 2. Решение кейсов Введение в профессиональную деятельность</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«Введение в профессиональную деятельность»: учебник для вузов. — Москва: IPR SMART, 2024. — 320 c. — URL: https://www.iprbookshop.ru/115123.html.</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«Введение в профессиональную деятельность»: учебное пособие. — Саратов: ВУЗ-Издат, 2023. — 150 c. — URL: https://www.iprbookshop.ru/124321.html.</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«Введение в профессиональную деятельность». — Санкт-Петербург: Наука, 2022. — 200 c.</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«Введение в профессиональную деятельность» / сост. Кафедра информационных технологий, 2025.</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дисциплины «Введение в профессиональную деятельность»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w:t>
              <w:br/>
              <w:t>(подпись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both"/>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Введение в профессиональную деятельность</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2 зачетных единиц(ы)</w:t>
      </w:r>
    </w:p>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Оценочные средства</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Оценивание формирования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br/>
        <w:t>Оценочные средства соотнесены с результатами обучения по дисциплине и индикаторами достижения компетенций, представлены ниже.</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ПК-5.1. Знать: фундаментальные основы и прикладные аспекты построения математических моделей технических и социально-экономических систем</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«Введение в профессиональную деятельность»</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ПК-5.2. Уметь: самостоятельно разрабатывать математические модели технических и социально-экономических систем</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«Введение в профессиональную деятельность»</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ПК-5.3. Владеть: навыками самостоятельного изучения новых разделов фундаментальных и прикладных наук</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«Введение в профессиональную деятельность»</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360" w:after="120" w:line="240" w:lineRule="auto"/>
        <w:jc w:val="both"/>
      </w:pP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зачет</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перечень вопросов</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Перечень вопросов для проведения зачета:</w:t>
      </w:r>
    </w:p>
    <w:p>
      <w:pPr>
        <w:spacing w:before="120" w:after="120" w:line="240" w:lineRule="auto"/>
        <w:jc w:val="both"/>
      </w:pPr>
      <w:r>
        <w:rPr>
          <w:rFonts w:ascii="Times New Roman" w:hAnsi="Times New Roman"/>
          <w:b/>
          <w:i/>
          <w:color w:val="000000"/>
          <w:sz w:val="28"/>
          <w:rFonts w:ascii="Times New Roman" w:hAnsi="Times New Roman" w:cs="Times New Roman" w:eastAsia="Times New Roman"/>
        </w:rPr>
        <w:t>4 семестр:</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1. Каковы базовые понятия дисциплины «Введение в профессиональную деятельность»?</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2. Опишите структуру и принципы работы базовых методов.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3. Сформулируйте критерии эффективности примененных подходов.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4. Опишите технологию отладки и верификации результатов.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5. Каковы особенности стандартизации процессов в предметной области?</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Критерии оценки: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Приведены в разделе 2.</w:t>
      </w:r>
    </w:p>
    <w:p>
      <w:pPr>
        <w:spacing w:before="36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ПК-5. Способен самостоятельно изучать новые разделы фундаментальных и прикладных наук</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ПК-5 в рамках курса «Введение в профессиональную деятельность»?</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ПК-5 в рамках курса «Введение в профессиональную деятельность»?</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ПК-5 в рамках курса «Введение в профессиональную деятельность»?</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ПК-5 в рамках курса «Введение в профессиональную деятельность»?</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ПК-5 в рамках курса «Введение в профессиональную деятельность»?</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0" w:after="120" w:line="240" w:lineRule="auto"/>
        <w:jc w:val="both"/>
      </w:pPr>
    </w:p>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Критерии и шкалы оценивания</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Разделы дисциплины</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(min)</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(max)</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практической работы №1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практической работы №2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Проверочное тестирование</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both"/>
            </w:pPr>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80</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100</w:t>
            </w:r>
          </w:p>
        </w:tc>
      </w:tr>
    </w:tbl>
    <w:p>
      <w:pPr>
        <w:spacing w:before="240" w:after="120" w:line="240" w:lineRule="auto"/>
        <w:jc w:val="both"/>
      </w:pP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 оценивании результатов обучения по дисциплине в ходе текущего контроля успеваемости используются следующие критерии. 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обозначение</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Показатели выставления минимального количества баллов</w:t>
            </w:r>
          </w:p>
        </w:tc>
      </w:tr>
      <w:tr>
        <w:trPr>
          <w:cantSplit/>
        </w:trPr>
        <w:tc>
          <w:tcPr>
            <w:tcW w:type="dxa" w:w="2268"/>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Практическая работа</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Продемонстрирован удовлетворительный уровень владения материалом.</w:t>
              <w:br/>
              <w:t>Правильно решено не менее 50% заданий.</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Промежуточная аттестация по дисциплине проводится в форме зачета (4 семестр).</w:t>
        <w:br/>
        <w:t>Итоговая оценка по дисциплине может быть выставлена на основе результатов текущего контроля с использованием следующей шкалы: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Набрано баллов</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«зачтено»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50-100</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 зачтено»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0-49</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набранных баллов менее 50 – обучающийся не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баллов составляет от 50 до 100 баллов, обучающийся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Билет к зачету включает 1 теоретический и 2 практических задания. Промежуточная аттестация проводится в письменной форме. Время на подготовку: 60-90 минут. При оценивании результатов обучения по дисциплине в ходе промежуточной аттестации используются следующие критерии и шкала оценки:</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Критерии оценки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«зачтено»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продемонстрировал знание теоретического материала в объеме, достаточном для понимания сути предмета, умеет решать простейшие практические задачи и отвечать на основные вопросы. Допускаются несущественные неточности в изложении материала.</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 зачтено»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демонстрирует отсутствие базовых знаний по ключевым разделам дисциплины, не может ответить на наводящие вопросы преподавателя и решить простейшие типовые задачи.</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