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364A" w14:textId="54BD5508" w:rsidR="00290A5B" w:rsidRDefault="008A1F58" w:rsidP="008A1F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2.1</w:t>
      </w:r>
    </w:p>
    <w:p w14:paraId="7E73FE4D" w14:textId="0F2704EE" w:rsidR="008A1F58" w:rsidRDefault="008A1F58" w:rsidP="008A1F58">
      <w:pPr>
        <w:jc w:val="center"/>
      </w:pPr>
      <w: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2208"/>
        <w:gridCol w:w="6669"/>
      </w:tblGrid>
      <w:tr w:rsidR="008A1F58" w14:paraId="2E2A0CB1" w14:textId="77777777" w:rsidTr="00777374">
        <w:tc>
          <w:tcPr>
            <w:tcW w:w="465" w:type="dxa"/>
          </w:tcPr>
          <w:p w14:paraId="381060B7" w14:textId="489ED4C0" w:rsidR="008A1F58" w:rsidRPr="008A1F58" w:rsidRDefault="008A1F58" w:rsidP="008A1F58">
            <w:pPr>
              <w:rPr>
                <w:b/>
                <w:sz w:val="24"/>
                <w:szCs w:val="24"/>
              </w:rPr>
            </w:pPr>
            <w:r w:rsidRPr="008A1F5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24" w:type="dxa"/>
          </w:tcPr>
          <w:p w14:paraId="675B2139" w14:textId="27A267D3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6656" w:type="dxa"/>
          </w:tcPr>
          <w:p w14:paraId="2E167242" w14:textId="61BDDC00" w:rsidR="008A1F58" w:rsidRPr="008A1F58" w:rsidRDefault="008A1F58" w:rsidP="008A1F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A1F58" w14:paraId="61F35BC0" w14:textId="77777777" w:rsidTr="00777374">
        <w:tc>
          <w:tcPr>
            <w:tcW w:w="465" w:type="dxa"/>
          </w:tcPr>
          <w:p w14:paraId="1E35BD6A" w14:textId="10549355" w:rsidR="008A1F58" w:rsidRPr="008A1F58" w:rsidRDefault="008A1F58" w:rsidP="008A1F58">
            <w:pPr>
              <w:jc w:val="center"/>
              <w:rPr>
                <w:b/>
                <w:sz w:val="24"/>
                <w:szCs w:val="24"/>
              </w:rPr>
            </w:pPr>
            <w:r w:rsidRPr="008A1F5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24" w:type="dxa"/>
          </w:tcPr>
          <w:p w14:paraId="0EB0608E" w14:textId="635A0613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Параметры микроклимата</w:t>
            </w:r>
          </w:p>
        </w:tc>
        <w:tc>
          <w:tcPr>
            <w:tcW w:w="6656" w:type="dxa"/>
          </w:tcPr>
          <w:p w14:paraId="31FF30C1" w14:textId="77777777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микроклимата для холодного времени года:</w:t>
            </w:r>
          </w:p>
          <w:p w14:paraId="14F89392" w14:textId="77777777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Температура воздуха: 22-24 </w:t>
            </w:r>
            <w:r>
              <w:rPr>
                <w:rFonts w:cstheme="minorHAnsi"/>
                <w:sz w:val="24"/>
                <w:szCs w:val="24"/>
              </w:rPr>
              <w:t>®</w:t>
            </w:r>
            <w:r>
              <w:rPr>
                <w:sz w:val="24"/>
                <w:szCs w:val="24"/>
              </w:rPr>
              <w:t>С</w:t>
            </w:r>
          </w:p>
          <w:p w14:paraId="65781CCC" w14:textId="77777777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Относительная влажность: 40-60%</w:t>
            </w:r>
          </w:p>
          <w:p w14:paraId="1DE959D6" w14:textId="77777777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Скорость движения воздуха: до 0,1 м</w:t>
            </w:r>
            <w:r w:rsidRPr="008A1F5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14:paraId="4BE9CC57" w14:textId="77777777" w:rsidR="008A1F58" w:rsidRDefault="008A1F58" w:rsidP="008A1F58">
            <w:pPr>
              <w:rPr>
                <w:sz w:val="24"/>
                <w:szCs w:val="24"/>
              </w:rPr>
            </w:pPr>
          </w:p>
          <w:p w14:paraId="5C6C299E" w14:textId="213084DB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Параметры микроклимата для </w:t>
            </w:r>
            <w:r>
              <w:rPr>
                <w:sz w:val="24"/>
                <w:szCs w:val="24"/>
              </w:rPr>
              <w:t>теплого</w:t>
            </w:r>
            <w:r>
              <w:rPr>
                <w:sz w:val="24"/>
                <w:szCs w:val="24"/>
              </w:rPr>
              <w:t xml:space="preserve"> времени года:</w:t>
            </w:r>
          </w:p>
          <w:p w14:paraId="3C857A40" w14:textId="77A4157E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воздуха: 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®</w:t>
            </w:r>
            <w:r>
              <w:rPr>
                <w:sz w:val="24"/>
                <w:szCs w:val="24"/>
              </w:rPr>
              <w:t>С</w:t>
            </w:r>
          </w:p>
          <w:p w14:paraId="67AFB9A5" w14:textId="77777777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Относительная влажность: 40-60%</w:t>
            </w:r>
          </w:p>
          <w:p w14:paraId="5B71EB52" w14:textId="61DAAC60" w:rsidR="008A1F58" w:rsidRDefault="008A1F58" w:rsidP="008A1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Скорость движения воздуха: 0,1</w:t>
            </w:r>
            <w:r>
              <w:rPr>
                <w:sz w:val="24"/>
                <w:szCs w:val="24"/>
              </w:rPr>
              <w:t>-0,2</w:t>
            </w:r>
            <w:r>
              <w:rPr>
                <w:sz w:val="24"/>
                <w:szCs w:val="24"/>
              </w:rPr>
              <w:t xml:space="preserve"> м</w:t>
            </w:r>
            <w:r w:rsidRPr="008A1F5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14:paraId="1F74E148" w14:textId="1C282A41" w:rsidR="008A1F58" w:rsidRPr="008A1F58" w:rsidRDefault="008A1F58" w:rsidP="008A1F58">
            <w:pPr>
              <w:rPr>
                <w:sz w:val="24"/>
                <w:szCs w:val="24"/>
              </w:rPr>
            </w:pPr>
          </w:p>
        </w:tc>
      </w:tr>
      <w:tr w:rsidR="008A1F58" w14:paraId="3B72340D" w14:textId="77777777" w:rsidTr="00777374">
        <w:tc>
          <w:tcPr>
            <w:tcW w:w="465" w:type="dxa"/>
          </w:tcPr>
          <w:p w14:paraId="5013B15C" w14:textId="17A4E598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14:paraId="1E8803BF" w14:textId="29A53EA3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Освещение</w:t>
            </w:r>
          </w:p>
        </w:tc>
        <w:tc>
          <w:tcPr>
            <w:tcW w:w="6656" w:type="dxa"/>
          </w:tcPr>
          <w:p w14:paraId="6E55C2B1" w14:textId="77777777" w:rsidR="008A1F58" w:rsidRPr="008A1F58" w:rsidRDefault="008A1F58" w:rsidP="008A1F58">
            <w:pPr>
              <w:rPr>
                <w:rFonts w:cstheme="minorHAnsi"/>
                <w:sz w:val="24"/>
                <w:szCs w:val="24"/>
              </w:rPr>
            </w:pPr>
            <w:r w:rsidRPr="008A1F58">
              <w:rPr>
                <w:rFonts w:cstheme="minorHAnsi"/>
                <w:sz w:val="24"/>
                <w:szCs w:val="24"/>
              </w:rPr>
              <w:t>П</w:t>
            </w:r>
            <w:r w:rsidRPr="008A1F58">
              <w:rPr>
                <w:rFonts w:cstheme="minorHAnsi"/>
                <w:sz w:val="24"/>
                <w:szCs w:val="24"/>
              </w:rPr>
              <w:t>ри</w:t>
            </w:r>
            <w:r w:rsidRPr="008A1F58">
              <w:rPr>
                <w:rFonts w:cstheme="minorHAnsi"/>
                <w:sz w:val="24"/>
                <w:szCs w:val="24"/>
              </w:rPr>
              <w:t xml:space="preserve"> </w:t>
            </w:r>
            <w:r w:rsidRPr="008A1F58">
              <w:rPr>
                <w:rFonts w:cstheme="minorHAnsi"/>
                <w:sz w:val="24"/>
                <w:szCs w:val="24"/>
              </w:rPr>
              <w:t xml:space="preserve">выполнении зрительных работ высокой точности общая освещенность должна составлять 300 </w:t>
            </w:r>
            <w:proofErr w:type="spellStart"/>
            <w:r w:rsidRPr="008A1F58">
              <w:rPr>
                <w:rFonts w:cstheme="minorHAnsi"/>
                <w:sz w:val="24"/>
                <w:szCs w:val="24"/>
              </w:rPr>
              <w:t>лк</w:t>
            </w:r>
            <w:proofErr w:type="spellEnd"/>
            <w:r w:rsidRPr="008A1F58">
              <w:rPr>
                <w:rFonts w:cstheme="minorHAnsi"/>
                <w:sz w:val="24"/>
                <w:szCs w:val="24"/>
              </w:rPr>
              <w:t>, а</w:t>
            </w:r>
            <w:r w:rsidRPr="008A1F58">
              <w:rPr>
                <w:rFonts w:cstheme="minorHAnsi"/>
                <w:sz w:val="24"/>
                <w:szCs w:val="24"/>
              </w:rPr>
              <w:t xml:space="preserve"> </w:t>
            </w:r>
            <w:r w:rsidRPr="008A1F58">
              <w:rPr>
                <w:rFonts w:cstheme="minorHAnsi"/>
                <w:sz w:val="24"/>
                <w:szCs w:val="24"/>
              </w:rPr>
              <w:t xml:space="preserve">комбинированная - 750лк; аналогичные требования при выполнении работ средней точности - 200и 300 </w:t>
            </w:r>
            <w:proofErr w:type="spellStart"/>
            <w:r w:rsidRPr="008A1F58">
              <w:rPr>
                <w:rFonts w:cstheme="minorHAnsi"/>
                <w:sz w:val="24"/>
                <w:szCs w:val="24"/>
              </w:rPr>
              <w:t>лк</w:t>
            </w:r>
            <w:proofErr w:type="spellEnd"/>
            <w:r w:rsidRPr="008A1F58">
              <w:rPr>
                <w:rFonts w:cstheme="minorHAnsi"/>
                <w:sz w:val="24"/>
                <w:szCs w:val="24"/>
              </w:rPr>
              <w:t xml:space="preserve"> соответственно.</w:t>
            </w:r>
            <w:r w:rsidRPr="008A1F58">
              <w:rPr>
                <w:rFonts w:cstheme="minorHAnsi"/>
                <w:sz w:val="24"/>
                <w:szCs w:val="24"/>
              </w:rPr>
              <w:t xml:space="preserve"> Кроме того,</w:t>
            </w:r>
            <w:r w:rsidRPr="008A1F58">
              <w:rPr>
                <w:rFonts w:cstheme="minorHAnsi"/>
                <w:sz w:val="24"/>
                <w:szCs w:val="24"/>
              </w:rPr>
              <w:t xml:space="preserve"> все поле зрения должно быть освещено достаточно равномерно </w:t>
            </w:r>
            <w:r w:rsidRPr="008A1F58">
              <w:rPr>
                <w:rFonts w:cstheme="minorHAnsi"/>
                <w:sz w:val="24"/>
                <w:szCs w:val="24"/>
              </w:rPr>
              <w:t>— это</w:t>
            </w:r>
            <w:r w:rsidRPr="008A1F58">
              <w:rPr>
                <w:rFonts w:cstheme="minorHAnsi"/>
                <w:sz w:val="24"/>
                <w:szCs w:val="24"/>
              </w:rPr>
              <w:t xml:space="preserve"> основное</w:t>
            </w:r>
            <w:r w:rsidRPr="008A1F58">
              <w:rPr>
                <w:rFonts w:cstheme="minorHAnsi"/>
                <w:sz w:val="24"/>
                <w:szCs w:val="24"/>
              </w:rPr>
              <w:t xml:space="preserve"> </w:t>
            </w:r>
            <w:r w:rsidRPr="008A1F58">
              <w:rPr>
                <w:rFonts w:cstheme="minorHAnsi"/>
                <w:sz w:val="24"/>
                <w:szCs w:val="24"/>
              </w:rPr>
              <w:t xml:space="preserve">гигиеническое требование. </w:t>
            </w:r>
          </w:p>
          <w:p w14:paraId="03122784" w14:textId="77777777" w:rsidR="008A1F58" w:rsidRPr="008A1F58" w:rsidRDefault="008A1F58" w:rsidP="008A1F58">
            <w:pPr>
              <w:rPr>
                <w:rFonts w:cstheme="minorHAnsi"/>
                <w:sz w:val="24"/>
                <w:szCs w:val="24"/>
              </w:rPr>
            </w:pPr>
          </w:p>
          <w:p w14:paraId="63046A63" w14:textId="6B1AED65" w:rsidR="008A1F58" w:rsidRDefault="008A1F58" w:rsidP="008A1F58">
            <w:pPr>
              <w:rPr>
                <w:sz w:val="24"/>
                <w:szCs w:val="24"/>
              </w:rPr>
            </w:pPr>
            <w:r w:rsidRPr="008A1F58">
              <w:rPr>
                <w:rFonts w:cstheme="minorHAnsi"/>
                <w:sz w:val="24"/>
                <w:szCs w:val="24"/>
              </w:rPr>
              <w:t>Степень освещения помещения и яркость экрана компьютера должны</w:t>
            </w:r>
            <w:r w:rsidRPr="008A1F58">
              <w:rPr>
                <w:rFonts w:cstheme="minorHAnsi"/>
                <w:sz w:val="24"/>
                <w:szCs w:val="24"/>
              </w:rPr>
              <w:t xml:space="preserve"> </w:t>
            </w:r>
            <w:r w:rsidRPr="008A1F58">
              <w:rPr>
                <w:rFonts w:cstheme="minorHAnsi"/>
                <w:sz w:val="24"/>
                <w:szCs w:val="24"/>
              </w:rPr>
              <w:t>быть примерно одинаковыми.</w:t>
            </w:r>
          </w:p>
        </w:tc>
      </w:tr>
      <w:tr w:rsidR="008A1F58" w14:paraId="52321719" w14:textId="77777777" w:rsidTr="00777374">
        <w:tc>
          <w:tcPr>
            <w:tcW w:w="465" w:type="dxa"/>
          </w:tcPr>
          <w:p w14:paraId="2743B9A1" w14:textId="2C08B729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6C352655" w14:textId="45C3500D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Р</w:t>
            </w:r>
            <w:r w:rsidRPr="008A1F58">
              <w:rPr>
                <w:sz w:val="24"/>
                <w:szCs w:val="24"/>
              </w:rPr>
              <w:t>асчет освещенности</w:t>
            </w:r>
          </w:p>
        </w:tc>
        <w:tc>
          <w:tcPr>
            <w:tcW w:w="6656" w:type="dxa"/>
          </w:tcPr>
          <w:p w14:paraId="4899DDFB" w14:textId="6BFBA19B" w:rsidR="008A1F58" w:rsidRDefault="008A1F58" w:rsidP="008A1F58">
            <w:pPr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 xml:space="preserve">X * Y * Z </w:t>
            </w:r>
            <w:r w:rsidR="00777374" w:rsidRPr="008A1F58">
              <w:rPr>
                <w:rFonts w:cstheme="minorHAnsi"/>
                <w:sz w:val="24"/>
                <w:szCs w:val="24"/>
              </w:rPr>
              <w:t>—</w:t>
            </w:r>
            <w:r w:rsidR="00777374">
              <w:rPr>
                <w:rFonts w:cstheme="minorHAnsi"/>
                <w:sz w:val="24"/>
                <w:szCs w:val="24"/>
              </w:rPr>
              <w:t xml:space="preserve"> </w:t>
            </w:r>
            <w:r w:rsidRPr="008A1F58">
              <w:rPr>
                <w:sz w:val="24"/>
                <w:szCs w:val="24"/>
              </w:rPr>
              <w:t>показатель необходимой величины светового потока (Люмен)</w:t>
            </w:r>
            <w:r w:rsidR="00777374">
              <w:rPr>
                <w:sz w:val="24"/>
                <w:szCs w:val="24"/>
              </w:rPr>
              <w:t xml:space="preserve"> где</w:t>
            </w:r>
            <w:r w:rsidRPr="008A1F58">
              <w:rPr>
                <w:sz w:val="24"/>
                <w:szCs w:val="24"/>
              </w:rPr>
              <w:t>:</w:t>
            </w:r>
          </w:p>
          <w:p w14:paraId="62DAB193" w14:textId="2F73AD2C" w:rsidR="008A1F58" w:rsidRPr="00777374" w:rsidRDefault="008A1F58" w:rsidP="0077737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X – установленная норма освещенности объекта в зависимости от типа помещения</w:t>
            </w:r>
          </w:p>
          <w:p w14:paraId="77912600" w14:textId="03C74030" w:rsidR="008A1F58" w:rsidRPr="00777374" w:rsidRDefault="008A1F58" w:rsidP="0077737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Y – соответствует площади помещения в квадратных метрах</w:t>
            </w:r>
          </w:p>
          <w:p w14:paraId="41C3E7C6" w14:textId="1D0AB8C8" w:rsidR="008A1F58" w:rsidRPr="00777374" w:rsidRDefault="008A1F58" w:rsidP="0077737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 xml:space="preserve">Z </w:t>
            </w:r>
            <w:r w:rsidR="00777374" w:rsidRPr="00777374">
              <w:rPr>
                <w:sz w:val="24"/>
                <w:szCs w:val="24"/>
              </w:rPr>
              <w:t xml:space="preserve">– </w:t>
            </w:r>
            <w:r w:rsidRPr="00777374">
              <w:rPr>
                <w:sz w:val="24"/>
                <w:szCs w:val="24"/>
              </w:rPr>
              <w:t xml:space="preserve">коэффициент поправки значений в зависимости от высоты потолков в помещении. </w:t>
            </w:r>
          </w:p>
          <w:p w14:paraId="4E0C8AB5" w14:textId="05C99B4F" w:rsidR="008A1F58" w:rsidRDefault="008A1F58" w:rsidP="008A1F58">
            <w:pPr>
              <w:rPr>
                <w:sz w:val="24"/>
                <w:szCs w:val="24"/>
              </w:rPr>
            </w:pPr>
          </w:p>
        </w:tc>
      </w:tr>
      <w:tr w:rsidR="008A1F58" w14:paraId="55A483A7" w14:textId="77777777" w:rsidTr="00777374">
        <w:tc>
          <w:tcPr>
            <w:tcW w:w="465" w:type="dxa"/>
          </w:tcPr>
          <w:p w14:paraId="66ACEFA6" w14:textId="6567698C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14:paraId="13729DC8" w14:textId="376A854F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Ш</w:t>
            </w:r>
            <w:r w:rsidRPr="008A1F58">
              <w:rPr>
                <w:sz w:val="24"/>
                <w:szCs w:val="24"/>
              </w:rPr>
              <w:t>ум и вибрация</w:t>
            </w:r>
          </w:p>
        </w:tc>
        <w:tc>
          <w:tcPr>
            <w:tcW w:w="6656" w:type="dxa"/>
          </w:tcPr>
          <w:p w14:paraId="2F1BB967" w14:textId="4F511E13" w:rsidR="008A1F58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Уровень шума на рабочем месте программистов и операторов видеоматериалов не</w:t>
            </w:r>
            <w:r>
              <w:rPr>
                <w:sz w:val="24"/>
                <w:szCs w:val="24"/>
              </w:rPr>
              <w:t xml:space="preserve"> </w:t>
            </w:r>
            <w:r w:rsidRPr="00777374">
              <w:rPr>
                <w:sz w:val="24"/>
                <w:szCs w:val="24"/>
              </w:rPr>
              <w:t xml:space="preserve">должен превышать 50 </w:t>
            </w:r>
            <w:proofErr w:type="spellStart"/>
            <w:r w:rsidRPr="00777374">
              <w:rPr>
                <w:sz w:val="24"/>
                <w:szCs w:val="24"/>
              </w:rPr>
              <w:t>дБА</w:t>
            </w:r>
            <w:proofErr w:type="spellEnd"/>
            <w:r w:rsidRPr="00777374">
              <w:rPr>
                <w:sz w:val="24"/>
                <w:szCs w:val="24"/>
              </w:rPr>
              <w:t xml:space="preserve">, а в залах обработки информации на вычислительных машинах - 65 </w:t>
            </w:r>
            <w:proofErr w:type="spellStart"/>
            <w:r w:rsidRPr="00777374">
              <w:rPr>
                <w:sz w:val="24"/>
                <w:szCs w:val="24"/>
              </w:rPr>
              <w:t>дБА</w:t>
            </w:r>
            <w:proofErr w:type="spellEnd"/>
          </w:p>
        </w:tc>
      </w:tr>
      <w:tr w:rsidR="008A1F58" w14:paraId="30E88326" w14:textId="77777777" w:rsidTr="00777374">
        <w:tc>
          <w:tcPr>
            <w:tcW w:w="465" w:type="dxa"/>
          </w:tcPr>
          <w:p w14:paraId="235B7257" w14:textId="4B490EE7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224" w:type="dxa"/>
          </w:tcPr>
          <w:p w14:paraId="063E30D3" w14:textId="288225FB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Э</w:t>
            </w:r>
            <w:r w:rsidRPr="008A1F58">
              <w:rPr>
                <w:sz w:val="24"/>
                <w:szCs w:val="24"/>
              </w:rPr>
              <w:t>лектромагнитное и ионизирующее излучени</w:t>
            </w:r>
            <w:r w:rsidRPr="008A1F58">
              <w:rPr>
                <w:sz w:val="24"/>
                <w:szCs w:val="24"/>
              </w:rPr>
              <w:t>е</w:t>
            </w:r>
          </w:p>
        </w:tc>
        <w:tc>
          <w:tcPr>
            <w:tcW w:w="6656" w:type="dxa"/>
          </w:tcPr>
          <w:p w14:paraId="1AE3D17E" w14:textId="72353DA6" w:rsidR="008A1F58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drawing>
                <wp:inline distT="0" distB="0" distL="0" distR="0" wp14:anchorId="7F8B0F59" wp14:editId="1212F1F0">
                  <wp:extent cx="4098279" cy="419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796" cy="420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58" w14:paraId="52187D60" w14:textId="77777777" w:rsidTr="00777374">
        <w:tc>
          <w:tcPr>
            <w:tcW w:w="465" w:type="dxa"/>
          </w:tcPr>
          <w:p w14:paraId="62FC215E" w14:textId="4CCD9519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14:paraId="7D9907CF" w14:textId="61D655AE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Э</w:t>
            </w:r>
            <w:r w:rsidRPr="008A1F58">
              <w:rPr>
                <w:sz w:val="24"/>
                <w:szCs w:val="24"/>
              </w:rPr>
              <w:t>ргономические требования к рабочему месту</w:t>
            </w:r>
          </w:p>
        </w:tc>
        <w:tc>
          <w:tcPr>
            <w:tcW w:w="6656" w:type="dxa"/>
          </w:tcPr>
          <w:p w14:paraId="2A15C1F6" w14:textId="2246D482" w:rsidR="008A1F58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Размеры мебели зависят от физиологии человека, для которого предназначено это рабочее место.</w:t>
            </w:r>
            <w:r>
              <w:rPr>
                <w:sz w:val="24"/>
                <w:szCs w:val="24"/>
              </w:rPr>
              <w:t xml:space="preserve"> </w:t>
            </w:r>
            <w:r w:rsidRPr="00777374">
              <w:rPr>
                <w:sz w:val="24"/>
                <w:szCs w:val="24"/>
              </w:rPr>
              <w:t>Размер столешницы желательно не менее 120 см2. Это позволяет положить локти на поверхность</w:t>
            </w:r>
            <w:r>
              <w:rPr>
                <w:sz w:val="24"/>
                <w:szCs w:val="24"/>
              </w:rPr>
              <w:t xml:space="preserve"> </w:t>
            </w:r>
            <w:r w:rsidRPr="00777374">
              <w:rPr>
                <w:sz w:val="24"/>
                <w:szCs w:val="24"/>
              </w:rPr>
              <w:t>при работе за компьютером.</w:t>
            </w:r>
          </w:p>
          <w:p w14:paraId="12534D88" w14:textId="20D206C4" w:rsidR="00777374" w:rsidRDefault="00777374" w:rsidP="008A1F58">
            <w:pPr>
              <w:rPr>
                <w:sz w:val="24"/>
                <w:szCs w:val="24"/>
              </w:rPr>
            </w:pPr>
          </w:p>
          <w:p w14:paraId="72CD8948" w14:textId="7314D256" w:rsidR="00777374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Стол располаг</w:t>
            </w:r>
            <w:r>
              <w:rPr>
                <w:sz w:val="24"/>
                <w:szCs w:val="24"/>
              </w:rPr>
              <w:t>ается</w:t>
            </w:r>
            <w:r w:rsidRPr="00777374">
              <w:rPr>
                <w:sz w:val="24"/>
                <w:szCs w:val="24"/>
              </w:rPr>
              <w:t xml:space="preserve"> ближе к окну, т.к. естественное освещение самое комфортное для глаз. Предпочтительно, чтобы свет падал спереди или слева (справа, если сидящий левша), но при</w:t>
            </w:r>
            <w:r>
              <w:rPr>
                <w:sz w:val="24"/>
                <w:szCs w:val="24"/>
              </w:rPr>
              <w:t xml:space="preserve"> </w:t>
            </w:r>
            <w:r w:rsidRPr="00777374">
              <w:rPr>
                <w:sz w:val="24"/>
                <w:szCs w:val="24"/>
              </w:rPr>
              <w:t>работе за компьютером не давал бликов на мониторе.</w:t>
            </w:r>
            <w:r>
              <w:rPr>
                <w:sz w:val="24"/>
                <w:szCs w:val="24"/>
              </w:rPr>
              <w:t xml:space="preserve"> </w:t>
            </w:r>
            <w:r w:rsidRPr="00777374">
              <w:rPr>
                <w:sz w:val="24"/>
                <w:szCs w:val="24"/>
              </w:rPr>
              <w:t>Центр монитора размещается чуть ниже уровня глаз, на расстоянии 50 см от лица.</w:t>
            </w:r>
          </w:p>
        </w:tc>
      </w:tr>
      <w:tr w:rsidR="008A1F58" w14:paraId="0E11C474" w14:textId="77777777" w:rsidTr="00777374">
        <w:tc>
          <w:tcPr>
            <w:tcW w:w="465" w:type="dxa"/>
          </w:tcPr>
          <w:p w14:paraId="108EAD36" w14:textId="05DDD07A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24" w:type="dxa"/>
          </w:tcPr>
          <w:p w14:paraId="4C97A238" w14:textId="1CF1B34C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Р</w:t>
            </w:r>
            <w:r w:rsidRPr="008A1F58">
              <w:rPr>
                <w:sz w:val="24"/>
                <w:szCs w:val="24"/>
              </w:rPr>
              <w:t>ежим труда</w:t>
            </w:r>
          </w:p>
        </w:tc>
        <w:tc>
          <w:tcPr>
            <w:tcW w:w="6656" w:type="dxa"/>
          </w:tcPr>
          <w:p w14:paraId="5A4394B6" w14:textId="77777777" w:rsidR="00777374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Оптимальные рабочие циклы</w:t>
            </w:r>
            <w:r>
              <w:rPr>
                <w:sz w:val="24"/>
                <w:szCs w:val="24"/>
              </w:rPr>
              <w:t>:</w:t>
            </w:r>
          </w:p>
          <w:p w14:paraId="7535C096" w14:textId="77777777" w:rsidR="00777374" w:rsidRPr="00777374" w:rsidRDefault="00777374" w:rsidP="00777374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52 минуты работы</w:t>
            </w:r>
          </w:p>
          <w:p w14:paraId="7037219F" w14:textId="621046C8" w:rsidR="008A1F58" w:rsidRPr="00777374" w:rsidRDefault="00777374" w:rsidP="00777374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t>17 минут отдыха</w:t>
            </w:r>
          </w:p>
        </w:tc>
      </w:tr>
      <w:tr w:rsidR="008A1F58" w14:paraId="1428BCAA" w14:textId="77777777" w:rsidTr="00777374">
        <w:tc>
          <w:tcPr>
            <w:tcW w:w="465" w:type="dxa"/>
          </w:tcPr>
          <w:p w14:paraId="3766CABB" w14:textId="29939D7B" w:rsidR="008A1F58" w:rsidRPr="008A1F58" w:rsidRDefault="008A1F58" w:rsidP="008A1F5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5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24" w:type="dxa"/>
          </w:tcPr>
          <w:p w14:paraId="7D7C284B" w14:textId="680D6D11" w:rsidR="008A1F58" w:rsidRPr="008A1F58" w:rsidRDefault="008A1F58" w:rsidP="008A1F58">
            <w:pPr>
              <w:jc w:val="center"/>
              <w:rPr>
                <w:sz w:val="24"/>
                <w:szCs w:val="24"/>
              </w:rPr>
            </w:pPr>
            <w:r w:rsidRPr="008A1F58">
              <w:rPr>
                <w:sz w:val="24"/>
                <w:szCs w:val="24"/>
              </w:rPr>
              <w:t>Р</w:t>
            </w:r>
            <w:r w:rsidRPr="008A1F58">
              <w:rPr>
                <w:sz w:val="24"/>
                <w:szCs w:val="24"/>
              </w:rPr>
              <w:t>асчет уровня шума</w:t>
            </w:r>
          </w:p>
        </w:tc>
        <w:tc>
          <w:tcPr>
            <w:tcW w:w="6656" w:type="dxa"/>
          </w:tcPr>
          <w:p w14:paraId="1F22C693" w14:textId="1FD51F67" w:rsidR="00777374" w:rsidRDefault="00777374" w:rsidP="008A1F58">
            <w:pPr>
              <w:rPr>
                <w:sz w:val="24"/>
                <w:szCs w:val="24"/>
              </w:rPr>
            </w:pPr>
            <w:r w:rsidRPr="00777374">
              <w:rPr>
                <w:sz w:val="24"/>
                <w:szCs w:val="24"/>
              </w:rPr>
              <w:drawing>
                <wp:inline distT="0" distB="0" distL="0" distR="0" wp14:anchorId="56755CF9" wp14:editId="6F7CA7AD">
                  <wp:extent cx="2067213" cy="70494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, где: </w:t>
            </w:r>
            <w:r>
              <w:rPr>
                <w:sz w:val="24"/>
                <w:szCs w:val="24"/>
              </w:rPr>
              <w:br/>
            </w:r>
            <w:r w:rsidRPr="00777374">
              <w:rPr>
                <w:sz w:val="24"/>
                <w:szCs w:val="24"/>
              </w:rPr>
              <w:t>L​i​- уровень звукового давления i-го источника шума</w:t>
            </w:r>
            <w:r>
              <w:rPr>
                <w:sz w:val="24"/>
                <w:szCs w:val="24"/>
              </w:rPr>
              <w:br/>
            </w:r>
            <w:r w:rsidRPr="00777374">
              <w:rPr>
                <w:sz w:val="24"/>
                <w:szCs w:val="24"/>
              </w:rPr>
              <w:t>n - количество источников шума</w:t>
            </w:r>
          </w:p>
        </w:tc>
      </w:tr>
    </w:tbl>
    <w:p w14:paraId="66F4D754" w14:textId="77777777" w:rsidR="008A1F58" w:rsidRPr="008A1F58" w:rsidRDefault="008A1F58" w:rsidP="008A1F58">
      <w:pPr>
        <w:rPr>
          <w:sz w:val="24"/>
          <w:szCs w:val="24"/>
        </w:rPr>
      </w:pPr>
    </w:p>
    <w:sectPr w:rsidR="008A1F58" w:rsidRPr="008A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813F2"/>
    <w:multiLevelType w:val="hybridMultilevel"/>
    <w:tmpl w:val="BA80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B7D7F"/>
    <w:multiLevelType w:val="hybridMultilevel"/>
    <w:tmpl w:val="6A60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EC"/>
    <w:rsid w:val="00290A5B"/>
    <w:rsid w:val="00777374"/>
    <w:rsid w:val="008A1F58"/>
    <w:rsid w:val="00B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15E2"/>
  <w15:chartTrackingRefBased/>
  <w15:docId w15:val="{4EC1CEE8-46C6-40F0-8813-DC1DEE4E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2021-02-16T17:37:00Z</dcterms:created>
  <dcterms:modified xsi:type="dcterms:W3CDTF">2021-02-16T17:52:00Z</dcterms:modified>
</cp:coreProperties>
</file>