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0A7F" w14:textId="6E1A83AC" w:rsidR="005F7C01" w:rsidRPr="005F7C01" w:rsidRDefault="005F7C01" w:rsidP="005F7C01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iCs/>
          <w:sz w:val="36"/>
          <w:szCs w:val="36"/>
          <w:highlight w:val="white"/>
          <w:lang w:val="ru-RU"/>
        </w:rPr>
      </w:pPr>
      <w:r>
        <w:rPr>
          <w:rFonts w:asciiTheme="majorHAnsi" w:eastAsia="Times New Roman" w:hAnsiTheme="majorHAnsi" w:cstheme="majorHAnsi"/>
          <w:b/>
          <w:bCs/>
          <w:iCs/>
          <w:sz w:val="36"/>
          <w:szCs w:val="36"/>
          <w:highlight w:val="white"/>
          <w:lang w:val="ru-RU"/>
        </w:rPr>
        <w:t>Инвариантная самостоятельная работа 1</w:t>
      </w:r>
    </w:p>
    <w:p w14:paraId="00000001" w14:textId="3AA43487" w:rsidR="00514493" w:rsidRPr="005F7C01" w:rsidRDefault="005F7C01" w:rsidP="005F7C01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b/>
          <w:bCs/>
          <w:iCs/>
          <w:sz w:val="24"/>
          <w:szCs w:val="24"/>
          <w:highlight w:val="white"/>
        </w:rPr>
        <w:t>Массовая информация</w:t>
      </w: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- это предназначенные для неограниченного круга лиц печатные, аудио-, аудиовизуальные и иные сообщения и материалы.</w:t>
      </w:r>
    </w:p>
    <w:p w14:paraId="00000002" w14:textId="77777777" w:rsidR="00514493" w:rsidRPr="005F7C01" w:rsidRDefault="005F7C01" w:rsidP="005F7C01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b/>
          <w:bCs/>
          <w:iCs/>
          <w:sz w:val="24"/>
          <w:szCs w:val="24"/>
        </w:rPr>
        <w:t>Средства массовой информации</w:t>
      </w:r>
      <w:r w:rsidRPr="005F7C01">
        <w:rPr>
          <w:rFonts w:asciiTheme="majorHAnsi" w:eastAsia="Times New Roman" w:hAnsiTheme="majorHAnsi" w:cstheme="majorHAnsi"/>
          <w:sz w:val="24"/>
          <w:szCs w:val="24"/>
        </w:rPr>
        <w:t xml:space="preserve"> - это </w:t>
      </w: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периодическое печатное издание, сетевое издание, телеканал, радиоканал, телепрограмма, радиопрограмма, видеопрограмма, кинохроникальная программа, иная форма периодического распространения массовой информации под постоянным наименованием (названием).</w:t>
      </w:r>
    </w:p>
    <w:p w14:paraId="00000003" w14:textId="77777777" w:rsidR="00514493" w:rsidRPr="005F7C01" w:rsidRDefault="005F7C01" w:rsidP="005F7C01">
      <w:pPr>
        <w:spacing w:before="180" w:after="180" w:line="360" w:lineRule="auto"/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К вид</w:t>
      </w:r>
      <w:r w:rsidRPr="005F7C01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ам средств массовой информации относятся:</w:t>
      </w:r>
    </w:p>
    <w:p w14:paraId="00000004" w14:textId="77777777" w:rsidR="00514493" w:rsidRPr="005F7C01" w:rsidRDefault="005F7C01" w:rsidP="005F7C01">
      <w:pPr>
        <w:numPr>
          <w:ilvl w:val="0"/>
          <w:numId w:val="1"/>
        </w:numPr>
        <w:spacing w:before="180"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пресса (газеты, журналы);</w:t>
      </w:r>
    </w:p>
    <w:p w14:paraId="00000005" w14:textId="77777777" w:rsidR="00514493" w:rsidRPr="005F7C01" w:rsidRDefault="005F7C01" w:rsidP="005F7C01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книжные издательства;</w:t>
      </w:r>
    </w:p>
    <w:p w14:paraId="00000006" w14:textId="77777777" w:rsidR="00514493" w:rsidRPr="005F7C01" w:rsidRDefault="005F7C01" w:rsidP="005F7C01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агентства печати;</w:t>
      </w:r>
    </w:p>
    <w:p w14:paraId="00000007" w14:textId="77777777" w:rsidR="00514493" w:rsidRPr="005F7C01" w:rsidRDefault="005F7C01" w:rsidP="005F7C01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радиовещание;</w:t>
      </w:r>
    </w:p>
    <w:p w14:paraId="00000008" w14:textId="77777777" w:rsidR="00514493" w:rsidRPr="005F7C01" w:rsidRDefault="005F7C01" w:rsidP="005F7C01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телевидение;</w:t>
      </w:r>
    </w:p>
    <w:p w14:paraId="00000009" w14:textId="77777777" w:rsidR="00514493" w:rsidRPr="005F7C01" w:rsidRDefault="005F7C01" w:rsidP="005F7C01">
      <w:pPr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кино-, видео-, звукозапись;</w:t>
      </w:r>
    </w:p>
    <w:p w14:paraId="0000000A" w14:textId="77777777" w:rsidR="00514493" w:rsidRPr="005F7C01" w:rsidRDefault="005F7C01" w:rsidP="005F7C01">
      <w:pPr>
        <w:numPr>
          <w:ilvl w:val="0"/>
          <w:numId w:val="1"/>
        </w:numPr>
        <w:spacing w:after="180" w:line="360" w:lineRule="auto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5F7C01">
        <w:rPr>
          <w:rFonts w:asciiTheme="majorHAnsi" w:eastAsia="Times New Roman" w:hAnsiTheme="majorHAnsi" w:cstheme="majorHAnsi"/>
          <w:sz w:val="24"/>
          <w:szCs w:val="24"/>
          <w:highlight w:val="white"/>
        </w:rPr>
        <w:t>интернет.</w:t>
      </w:r>
    </w:p>
    <w:p w14:paraId="0000000B" w14:textId="77777777" w:rsidR="00514493" w:rsidRPr="005F7C01" w:rsidRDefault="00514493">
      <w:pPr>
        <w:spacing w:line="360" w:lineRule="auto"/>
        <w:jc w:val="both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</w:p>
    <w:sectPr w:rsidR="00514493" w:rsidRPr="005F7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C0ED5"/>
    <w:multiLevelType w:val="multilevel"/>
    <w:tmpl w:val="5DECBA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9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93"/>
    <w:rsid w:val="00514493"/>
    <w:rsid w:val="005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9C4D"/>
  <w15:docId w15:val="{A81E404D-AB07-461F-BA84-C116A880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2022-04-19T20:29:00Z</dcterms:created>
  <dcterms:modified xsi:type="dcterms:W3CDTF">2022-04-19T20:30:00Z</dcterms:modified>
</cp:coreProperties>
</file>