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00"/>
      </w:pPr>
      <w:r>
        <w:rPr>
          <w:color w:val="000000"/>
          <w:sz w:val="44"/>
        </w:rPr>
        <w:t>Carrefour and Magnum Appendix</w:t>
      </w:r>
    </w:p>
    <w:p>
      <w:pPr>
        <w:widowControl/>
        <w:spacing w:after="100"/>
      </w:pPr>
      <w:r>
        <w:t>Business Administration | Assignment 1 | Kniazev Daniil | AIB-2602 | 22 September 2026</w:t>
      </w:r>
    </w:p>
    <w:p>
      <w:pPr>
        <w:widowControl/>
        <w:spacing w:after="100"/>
      </w:pPr>
      <w:r>
        <w:t>The three tables carry forward the Weekly Records. Their source numbers refer to the shared Evidence Folder. The AI-use declaration follows the artifacts.</w:t>
      </w:r>
    </w:p>
    <w:p>
      <w:pPr>
        <w:pStyle w:val="Heading1"/>
        <w:spacing w:before="160" w:after="80"/>
      </w:pPr>
      <w:r>
        <w:rPr>
          <w:color w:val="000000"/>
        </w:rPr>
        <w:t>Week 1 Business environment</w:t>
      </w:r>
    </w:p>
    <w:p>
      <w:pPr>
        <w:pStyle w:val="Heading2"/>
        <w:keepNext/>
        <w:widowControl/>
        <w:spacing w:after="100"/>
      </w:pPr>
      <w:r>
        <w:t>Table 1  Environment and AI opportunity map</w:t>
      </w:r>
    </w:p>
    <w:tbl>
      <w:tblPr>
        <w:tblW w:w="10036"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843"/>
        <w:gridCol w:w="3827"/>
        <w:gridCol w:w="2835"/>
      </w:tblGrid>
      <w:tr>
        <w:trPr>
          <w:cantSplit/>
          <w:tblHeader/>
        </w:trPr>
        <w:tc>
          <w:tcPr>
            <w:tcW w:type="dxa" w:w="1531"/>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Factor</w:t>
            </w:r>
          </w:p>
        </w:tc>
        <w:tc>
          <w:tcPr>
            <w:tcW w:type="dxa" w:w="1843"/>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Effect on Magnum</w:t>
            </w:r>
          </w:p>
        </w:tc>
        <w:tc>
          <w:tcPr>
            <w:tcW w:type="dxa" w:w="3827"/>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Evidence</w:t>
            </w:r>
          </w:p>
        </w:tc>
        <w:tc>
          <w:tcPr>
            <w:tcW w:type="dxa" w:w="2835"/>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Possible AI use and control</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Economic</w:t>
            </w:r>
          </w:p>
        </w:tc>
        <w:tc>
          <w:tcPr>
            <w:tcW w:type="dxa" w:w="184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Affordability, costs and employment affect demand.</w:t>
            </w:r>
          </w:p>
        </w:tc>
        <w:tc>
          <w:tcPr>
            <w:tcW w:type="dxa" w:w="382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BNS, 1 Sep. 2026: annual inflation 9.8%, Aug. 2026/Aug. 2025. BNS, 14 Aug. 2026: real GDP +4.1%, H1 2026/H1 2025, flash estimate. BNS, 13 Aug. 2026: unemployment 4.5%, Q2 2026. [4], [5], [6]</w:t>
            </w:r>
          </w:p>
        </w:tc>
        <w:tc>
          <w:tcPr>
            <w:tcW w:type="dxa" w:w="283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Forecast sales; category managers verify errors and approve orders. Retain manual ordering.</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Political and legal</w:t>
            </w:r>
          </w:p>
        </w:tc>
        <w:tc>
          <w:tcPr>
            <w:tcW w:type="dxa" w:w="184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Personal data require privacy controls.</w:t>
            </w:r>
          </w:p>
        </w:tc>
        <w:tc>
          <w:tcPr>
            <w:tcW w:type="dxa" w:w="382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Kazakhstan Personal Data Law, 21 May 2013, No. 94-V, art. 5: lawfulness, confidentiality, security. Checked 11 Sep. 2026. [7]</w:t>
            </w:r>
          </w:p>
        </w:tc>
        <w:tc>
          <w:tcPr>
            <w:tcW w:type="dxa" w:w="2835"/>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Assist rule searches; legal staff verify obligations. Use approved or aggregate data.</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Technological</w:t>
            </w:r>
          </w:p>
        </w:tc>
        <w:tc>
          <w:tcPr>
            <w:tcW w:type="dxa" w:w="184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Online shopping encourages better search and availability.</w:t>
            </w:r>
          </w:p>
        </w:tc>
        <w:tc>
          <w:tcPr>
            <w:tcW w:type="dxa" w:w="382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BNS, 25 May 2026: e-commerce was 14.3% of total retail trade in 2025, including marketplaces; not grocery-specific. [8]</w:t>
            </w:r>
          </w:p>
        </w:tc>
        <w:tc>
          <w:tcPr>
            <w:tcW w:type="dxa" w:w="283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Pilot catalogue search. Verify product facts; retain ordinary search and staff support.</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Competitive</w:t>
            </w:r>
          </w:p>
        </w:tc>
        <w:tc>
          <w:tcPr>
            <w:tcW w:type="dxa" w:w="184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SMALL competes in Kazakhstan grocery retail.</w:t>
            </w:r>
          </w:p>
        </w:tc>
        <w:tc>
          <w:tcPr>
            <w:tcW w:type="dxa" w:w="382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SMALL, Small Tech, undated; accessed 11 Sep. 2026: retail network and technology infrastructure. AI deployment unconfirmed. [9]</w:t>
            </w:r>
          </w:p>
        </w:tc>
        <w:tc>
          <w:tcPr>
            <w:tcW w:type="dxa" w:w="2835"/>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Compare public offers; staff check matching products and dates.</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Demographic and social</w:t>
            </w:r>
          </w:p>
        </w:tc>
        <w:tc>
          <w:tcPr>
            <w:tcW w:type="dxa" w:w="184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Market size does not establish preferences or trust.</w:t>
            </w:r>
          </w:p>
        </w:tc>
        <w:tc>
          <w:tcPr>
            <w:tcW w:type="dxa" w:w="382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BNS, 1 Sep. 2026: population 20,604,819 as of 1 Aug. 2026. [10]</w:t>
            </w:r>
          </w:p>
        </w:tc>
        <w:tc>
          <w:tcPr>
            <w:tcW w:type="dxa" w:w="283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Analyze aggregate demand; test language preferences. Keep human complaint handling.</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Global supply network</w:t>
            </w:r>
          </w:p>
        </w:tc>
        <w:tc>
          <w:tcPr>
            <w:tcW w:type="dxa" w:w="184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Import prices may affect procurement, but do not prove delays.</w:t>
            </w:r>
          </w:p>
        </w:tc>
        <w:tc>
          <w:tcPr>
            <w:tcW w:type="dxa" w:w="382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BNS, Statistics of prices, accessed 11 Sep. 2026: import-price index 101.6%, Jun. 2026/Jun. 2025 (+1.6%). Publication date unconfirmed. [11]</w:t>
            </w:r>
          </w:p>
        </w:tc>
        <w:tc>
          <w:tcPr>
            <w:tcW w:type="dxa" w:w="2835"/>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Flag invoice changes; procurement verifies alerts and approves decisions.</w:t>
            </w:r>
          </w:p>
        </w:tc>
      </w:tr>
    </w:tbl>
    <w:p>
      <w:pPr>
        <w:widowControl/>
        <w:spacing w:after="100" w:before="80"/>
      </w:pPr>
      <w:r>
        <w:rPr>
          <w:sz w:val="18"/>
        </w:rPr>
        <w:t>Source: Weekly Record 1 and the dated sources cited in each row. Proposed effects and AI uses require local testing.</w:t>
      </w:r>
    </w:p>
    <w:p>
      <w:r>
        <w:br w:type="page"/>
      </w:r>
    </w:p>
    <w:p>
      <w:pPr>
        <w:pStyle w:val="Heading1"/>
        <w:spacing w:before="160" w:after="80"/>
      </w:pPr>
      <w:r>
        <w:rPr>
          <w:color w:val="000000"/>
        </w:rPr>
        <w:t>Week 2 Ethics and stakeholders</w:t>
      </w:r>
    </w:p>
    <w:p>
      <w:pPr>
        <w:widowControl/>
        <w:spacing w:after="100"/>
      </w:pPr>
      <w:r>
        <w:t>Proposed use: catalogue search. Customers bear direct harm, regulators influence permitted processing and employees handle corrections. Suppliers need accurate descriptions and fair visibility.</w:t>
      </w:r>
    </w:p>
    <w:p>
      <w:pPr>
        <w:pStyle w:val="Heading2"/>
        <w:keepNext/>
        <w:widowControl/>
        <w:spacing w:after="100"/>
      </w:pPr>
      <w:r>
        <w:t>Table 2  Stakeholder and AI ethics map</w:t>
      </w:r>
    </w:p>
    <w:tbl>
      <w:tblPr>
        <w:tblW w:w="10035"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62"/>
        <w:gridCol w:w="1644"/>
        <w:gridCol w:w="1389"/>
        <w:gridCol w:w="2013"/>
        <w:gridCol w:w="2183"/>
        <w:gridCol w:w="1644"/>
      </w:tblGrid>
      <w:tr>
        <w:trPr>
          <w:cantSplit/>
          <w:tblHeader/>
        </w:trPr>
        <w:tc>
          <w:tcPr>
            <w:tcW w:type="dxa" w:w="1162"/>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Stakeholder</w:t>
            </w:r>
          </w:p>
        </w:tc>
        <w:tc>
          <w:tcPr>
            <w:tcW w:type="dxa" w:w="1644"/>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Wants and risks</w:t>
            </w:r>
          </w:p>
        </w:tc>
        <w:tc>
          <w:tcPr>
            <w:tcW w:type="dxa" w:w="1389"/>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AI issue</w:t>
            </w:r>
          </w:p>
        </w:tc>
        <w:tc>
          <w:tcPr>
            <w:tcW w:type="dxa" w:w="2013"/>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Magnum obligation</w:t>
            </w:r>
          </w:p>
        </w:tc>
        <w:tc>
          <w:tcPr>
            <w:tcW w:type="dxa" w:w="2183"/>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Carrefour evidence</w:t>
            </w:r>
          </w:p>
        </w:tc>
        <w:tc>
          <w:tcPr>
            <w:tcW w:type="dxa" w:w="1644"/>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Transfer verdict</w:t>
            </w:r>
          </w:p>
        </w:tc>
      </w:tr>
      <w:tr>
        <w:trPr>
          <w:cantSplit/>
        </w:trPr>
        <w:tc>
          <w:tcPr>
            <w:tcW w:type="dxa" w:w="1162"/>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Customers</w:t>
            </w:r>
          </w:p>
        </w:tc>
        <w:tc>
          <w:tcPr>
            <w:tcW w:type="dxa" w:w="1644"/>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Affordable, accurate choices; unsuitable suggestions.</w:t>
            </w:r>
          </w:p>
        </w:tc>
        <w:tc>
          <w:tcPr>
            <w:tcW w:type="dxa" w:w="1389"/>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Wrong products or language bias.</w:t>
            </w:r>
          </w:p>
        </w:tc>
        <w:tc>
          <w:tcPr>
            <w:tcW w:type="dxa" w:w="201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Check stock and labels; test both languages; retain staff help.</w:t>
            </w:r>
          </w:p>
        </w:tc>
        <w:tc>
          <w:tcPr>
            <w:tcW w:type="dxa" w:w="218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Hopla links budget questions to product search [12].</w:t>
            </w:r>
          </w:p>
        </w:tc>
        <w:tc>
          <w:tcPr>
            <w:tcW w:type="dxa" w:w="1644"/>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PILOT: compare successful searches.</w:t>
            </w:r>
          </w:p>
        </w:tc>
      </w:tr>
      <w:tr>
        <w:trPr>
          <w:cantSplit/>
        </w:trPr>
        <w:tc>
          <w:tcPr>
            <w:tcW w:type="dxa" w:w="1162"/>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Employees</w:t>
            </w:r>
          </w:p>
        </w:tc>
        <w:tc>
          <w:tcPr>
            <w:tcW w:type="dxa" w:w="1644"/>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Manageable work; extra corrections.</w:t>
            </w:r>
          </w:p>
        </w:tc>
        <w:tc>
          <w:tcPr>
            <w:tcW w:type="dxa" w:w="1389"/>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Fluent answers can hide errors.</w:t>
            </w:r>
          </w:p>
        </w:tc>
        <w:tc>
          <w:tcPr>
            <w:tcW w:type="dxa" w:w="201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Train staff, log corrections and assign a service manager.</w:t>
            </w:r>
          </w:p>
        </w:tc>
        <w:tc>
          <w:tcPr>
            <w:tcW w:type="dxa" w:w="218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AI supports product descriptions; staff workload is unreported [12].</w:t>
            </w:r>
          </w:p>
        </w:tc>
        <w:tc>
          <w:tcPr>
            <w:tcW w:type="dxa" w:w="1644"/>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ADAPT: keep staff review.</w:t>
            </w:r>
          </w:p>
        </w:tc>
      </w:tr>
      <w:tr>
        <w:trPr>
          <w:cantSplit/>
        </w:trPr>
        <w:tc>
          <w:tcPr>
            <w:tcW w:type="dxa" w:w="1162"/>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Suppliers</w:t>
            </w:r>
          </w:p>
        </w:tc>
        <w:tc>
          <w:tcPr>
            <w:tcW w:type="dxa" w:w="1644"/>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Fair visibility; inaccurate product claims.</w:t>
            </w:r>
          </w:p>
        </w:tc>
        <w:tc>
          <w:tcPr>
            <w:tcW w:type="dxa" w:w="1389"/>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Generated descriptions may misrepresent goods.</w:t>
            </w:r>
          </w:p>
        </w:tc>
        <w:tc>
          <w:tcPr>
            <w:tcW w:type="dxa" w:w="201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Check descriptions with suppliers and allow corrections.</w:t>
            </w:r>
          </w:p>
        </w:tc>
        <w:tc>
          <w:tcPr>
            <w:tcW w:type="dxa" w:w="2183"/>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Carrefour generated descriptions for its own brands [12].</w:t>
            </w:r>
          </w:p>
        </w:tc>
        <w:tc>
          <w:tcPr>
            <w:tcW w:type="dxa" w:w="1644"/>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PILOT: verify supplier product facts.</w:t>
            </w:r>
          </w:p>
        </w:tc>
      </w:tr>
      <w:tr>
        <w:trPr>
          <w:cantSplit/>
        </w:trPr>
        <w:tc>
          <w:tcPr>
            <w:tcW w:type="dxa" w:w="1162"/>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Regulators</w:t>
            </w:r>
          </w:p>
        </w:tc>
        <w:tc>
          <w:tcPr>
            <w:tcW w:type="dxa" w:w="1644"/>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Accountability; privacy violations.</w:t>
            </w:r>
          </w:p>
        </w:tc>
        <w:tc>
          <w:tcPr>
            <w:tcW w:type="dxa" w:w="1389"/>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Customer data may reach external providers.</w:t>
            </w:r>
          </w:p>
        </w:tc>
        <w:tc>
          <w:tcPr>
            <w:tcW w:type="dxa" w:w="201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Review data flows, restrict access and retain records.</w:t>
            </w:r>
          </w:p>
        </w:tc>
        <w:tc>
          <w:tcPr>
            <w:tcW w:type="dxa" w:w="2183"/>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Carrefour describes Azure privacy features, not an independent audit [12].</w:t>
            </w:r>
          </w:p>
        </w:tc>
        <w:tc>
          <w:tcPr>
            <w:tcW w:type="dxa" w:w="1644"/>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ADAPT: assess Kazakhstan requirements.</w:t>
            </w:r>
          </w:p>
        </w:tc>
      </w:tr>
    </w:tbl>
    <w:p>
      <w:pPr>
        <w:widowControl/>
        <w:spacing w:after="100" w:before="80"/>
      </w:pPr>
      <w:r>
        <w:rPr>
          <w:sz w:val="18"/>
        </w:rPr>
        <w:t>Source: Weekly Record 2 and Carrefour’s launch announcement [12]. The Magnum controls are proposals.</w:t>
      </w:r>
    </w:p>
    <w:p>
      <w:pPr>
        <w:widowControl/>
        <w:spacing w:after="100"/>
      </w:pPr>
      <w:r>
        <w:t>The main tension is useful recommendations versus unnecessary use of customer data. Magnum Club lists purchase histories and location data [15]. Pilot catalogue search after privacy review, test both languages and retain staff help. Delay additional personalisation.</w:t>
      </w:r>
    </w:p>
    <w:p>
      <w:r>
        <w:br w:type="page"/>
      </w:r>
    </w:p>
    <w:p>
      <w:pPr>
        <w:pStyle w:val="Heading1"/>
        <w:spacing w:before="160" w:after="80"/>
      </w:pPr>
      <w:r>
        <w:rPr>
          <w:color w:val="000000"/>
        </w:rPr>
        <w:t>Week 3 Ownership and business model</w:t>
      </w:r>
    </w:p>
    <w:p>
      <w:pPr>
        <w:widowControl/>
        <w:spacing w:after="100"/>
      </w:pPr>
      <w:r>
        <w:t>Magnum earns revenue from retail and wholesale sales. Availability creates value, while excess stock, waste and operating costs reduce the amount retained. The test links each transfer decision to this model.</w:t>
      </w:r>
    </w:p>
    <w:p>
      <w:pPr>
        <w:pStyle w:val="Heading2"/>
        <w:keepNext/>
        <w:widowControl/>
        <w:spacing w:after="100"/>
      </w:pPr>
      <w:r>
        <w:t>Table 3  AI Business Model Stress Test</w:t>
      </w:r>
    </w:p>
    <w:tbl>
      <w:tblPr>
        <w:tblW w:w="10035"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8"/>
        <w:gridCol w:w="2211"/>
        <w:gridCol w:w="1956"/>
        <w:gridCol w:w="850"/>
        <w:gridCol w:w="3600"/>
      </w:tblGrid>
      <w:tr>
        <w:trPr>
          <w:cantSplit/>
          <w:tblHeader/>
        </w:trPr>
        <w:tc>
          <w:tcPr>
            <w:tcW w:type="dxa" w:w="1417"/>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Model element</w:t>
            </w:r>
          </w:p>
        </w:tc>
        <w:tc>
          <w:tcPr>
            <w:tcW w:type="dxa" w:w="2211"/>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Carrefour evidence</w:t>
            </w:r>
          </w:p>
        </w:tc>
        <w:tc>
          <w:tcPr>
            <w:tcW w:type="dxa" w:w="1956"/>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Stress on Magnum</w:t>
            </w:r>
          </w:p>
        </w:tc>
        <w:tc>
          <w:tcPr>
            <w:tcW w:type="dxa" w:w="850"/>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Verdict</w:t>
            </w:r>
          </w:p>
        </w:tc>
        <w:tc>
          <w:tcPr>
            <w:tcW w:type="dxa" w:w="3600"/>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19"/>
              </w:rPr>
              <w:t>Local condition and test</w:t>
            </w:r>
          </w:p>
        </w:tc>
      </w:tr>
      <w:tr>
        <w:trPr>
          <w:cantSplit/>
        </w:trPr>
        <w:tc>
          <w:tcPr>
            <w:tcW w:type="dxa" w:w="141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Customer search</w:t>
            </w:r>
          </w:p>
        </w:tc>
        <w:tc>
          <w:tcPr>
            <w:tcW w:type="dxa" w:w="221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Hopla and later shopping services link questions to products. [12], [19]</w:t>
            </w:r>
          </w:p>
        </w:tc>
        <w:tc>
          <w:tcPr>
            <w:tcW w:type="dxa" w:w="1956"/>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Recommendations may point to unavailable goods.</w:t>
            </w:r>
          </w:p>
        </w:tc>
        <w:tc>
          <w:tcPr>
            <w:tcW w:type="dxa" w:w="85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ADAPT</w:t>
            </w:r>
          </w:p>
        </w:tc>
        <w:tc>
          <w:tcPr>
            <w:tcW w:type="dxa" w:w="360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Test Kazakh and Russian questions against the local catalogue. Compare successful searches; keep staff help.</w:t>
            </w:r>
          </w:p>
        </w:tc>
      </w:tr>
      <w:tr>
        <w:trPr>
          <w:cantSplit/>
        </w:trPr>
        <w:tc>
          <w:tcPr>
            <w:tcW w:type="dxa" w:w="141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Stock planning</w:t>
            </w:r>
          </w:p>
        </w:tc>
        <w:tc>
          <w:tcPr>
            <w:tcW w:type="dxa" w:w="221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SAS describes AI for demand forecasts and ordering. [20]</w:t>
            </w:r>
          </w:p>
        </w:tc>
        <w:tc>
          <w:tcPr>
            <w:tcW w:type="dxa" w:w="1956"/>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Stock errors or promotions make forecasts unreliable.</w:t>
            </w:r>
          </w:p>
        </w:tc>
        <w:tc>
          <w:tcPr>
            <w:tcW w:type="dxa" w:w="850"/>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PILOT</w:t>
            </w:r>
          </w:p>
        </w:tc>
        <w:tc>
          <w:tcPr>
            <w:tcW w:type="dxa" w:w="3600"/>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Compare stockouts, waste and correction time with current ordering. Category managers approve orders.</w:t>
            </w:r>
          </w:p>
        </w:tc>
      </w:tr>
      <w:tr>
        <w:trPr>
          <w:cantSplit/>
        </w:trPr>
        <w:tc>
          <w:tcPr>
            <w:tcW w:type="dxa" w:w="141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Supplier relationships</w:t>
            </w:r>
          </w:p>
        </w:tc>
        <w:tc>
          <w:tcPr>
            <w:tcW w:type="dxa" w:w="221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Ethics charter covers conduct and reporting. [21]</w:t>
            </w:r>
          </w:p>
        </w:tc>
        <w:tc>
          <w:tcPr>
            <w:tcW w:type="dxa" w:w="1956"/>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Written commitments may not change purchasing.</w:t>
            </w:r>
          </w:p>
        </w:tc>
        <w:tc>
          <w:tcPr>
            <w:tcW w:type="dxa" w:w="85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ADOPT</w:t>
            </w:r>
          </w:p>
        </w:tc>
        <w:tc>
          <w:tcPr>
            <w:tcW w:type="dxa" w:w="360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Apply accountability through existing Magnum rules. [22] Track resolution and repeated complaints.</w:t>
            </w:r>
          </w:p>
        </w:tc>
      </w:tr>
      <w:tr>
        <w:trPr>
          <w:cantSplit/>
        </w:trPr>
        <w:tc>
          <w:tcPr>
            <w:tcW w:type="dxa" w:w="141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Loyalty offers</w:t>
            </w:r>
          </w:p>
        </w:tc>
        <w:tc>
          <w:tcPr>
            <w:tcW w:type="dxa" w:w="221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Later services use purchase histories. [19]</w:t>
            </w:r>
          </w:p>
        </w:tc>
        <w:tc>
          <w:tcPr>
            <w:tcW w:type="dxa" w:w="1956"/>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Extra data may add intrusion and cost without enough benefit.</w:t>
            </w:r>
          </w:p>
        </w:tc>
        <w:tc>
          <w:tcPr>
            <w:tcW w:type="dxa" w:w="850"/>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DELAY</w:t>
            </w:r>
          </w:p>
        </w:tc>
        <w:tc>
          <w:tcPr>
            <w:tcW w:type="dxa" w:w="3600"/>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19"/>
              </w:rPr>
              <w:t>Review purpose, access and customer choices. Demonstrate value beyond existing Magnum Club offers. [7], [15]</w:t>
            </w:r>
          </w:p>
        </w:tc>
      </w:tr>
      <w:tr>
        <w:trPr>
          <w:cantSplit/>
        </w:trPr>
        <w:tc>
          <w:tcPr>
            <w:tcW w:type="dxa" w:w="141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Order approval</w:t>
            </w:r>
          </w:p>
        </w:tc>
        <w:tc>
          <w:tcPr>
            <w:tcW w:type="dxa" w:w="221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 proposed extension beyond the documented comparison.</w:t>
            </w:r>
          </w:p>
        </w:tc>
        <w:tc>
          <w:tcPr>
            <w:tcW w:type="dxa" w:w="1956"/>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Automatic commitments could magnify mistakes.</w:t>
            </w:r>
          </w:p>
        </w:tc>
        <w:tc>
          <w:tcPr>
            <w:tcW w:type="dxa" w:w="85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REJECT</w:t>
            </w:r>
          </w:p>
        </w:tc>
        <w:tc>
          <w:tcPr>
            <w:tcW w:type="dxa" w:w="3600"/>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19"/>
              </w:rPr>
              <w:t>Keep a named manager and manual ordering for this trial. This is the proposed Magnum boundary.</w:t>
            </w:r>
          </w:p>
        </w:tc>
      </w:tr>
    </w:tbl>
    <w:p>
      <w:pPr>
        <w:widowControl/>
        <w:spacing w:after="100" w:before="80"/>
      </w:pPr>
      <w:r>
        <w:rPr>
          <w:sz w:val="18"/>
        </w:rPr>
        <w:t>Source: Weekly Record 3 and the company and vendor publications cited in the table.</w:t>
      </w:r>
    </w:p>
    <w:p>
      <w:pPr>
        <w:widowControl/>
        <w:spacing w:after="100"/>
      </w:pPr>
      <w:r>
        <w:t>Changed assumption: the trial finds that recorded stock differs from shelf stock during promotions. The forecasting verdict changes from PILOT to DELAY: category managers first reconcile stock and promotion records, then retest against current ordering. Search remains limited to items with checked availability. Expansion requires savings from fewer lost sales and less waste to exceed software, integration, training and correction costs. These are decision criteria, not measured Magnum results.</w:t>
      </w:r>
    </w:p>
    <w:p>
      <w:r>
        <w:br w:type="page"/>
      </w:r>
    </w:p>
    <w:p>
      <w:pPr>
        <w:pStyle w:val="Title"/>
        <w:widowControl/>
        <w:spacing w:after="100"/>
      </w:pPr>
      <w:r>
        <w:rPr>
          <w:color w:val="000000"/>
          <w:sz w:val="44"/>
        </w:rPr>
        <w:t>AI Use Declaration</w:t>
      </w:r>
    </w:p>
    <w:p>
      <w:pPr>
        <w:widowControl/>
        <w:spacing w:after="100"/>
      </w:pPr>
      <w:r>
        <w:t>Business Administration Assignment 1</w:t>
      </w:r>
    </w:p>
    <w:tbl>
      <w:tblPr>
        <w:tblW w:w="10036"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92"/>
        <w:gridCol w:w="2041"/>
        <w:gridCol w:w="1928"/>
        <w:gridCol w:w="3175"/>
      </w:tblGrid>
      <w:tr>
        <w:trPr>
          <w:cantSplit/>
          <w:tblHeader/>
        </w:trPr>
        <w:tc>
          <w:tcPr>
            <w:tcW w:type="dxa" w:w="2891"/>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Student</w:t>
            </w:r>
          </w:p>
        </w:tc>
        <w:tc>
          <w:tcPr>
            <w:tcW w:type="dxa" w:w="2041"/>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Group</w:t>
            </w:r>
          </w:p>
        </w:tc>
        <w:tc>
          <w:tcPr>
            <w:tcW w:type="dxa" w:w="1928"/>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Student ID</w:t>
            </w:r>
          </w:p>
        </w:tc>
        <w:tc>
          <w:tcPr>
            <w:tcW w:type="dxa" w:w="3175"/>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Date</w:t>
            </w:r>
          </w:p>
        </w:tc>
      </w:tr>
      <w:tr>
        <w:trPr>
          <w:cantSplit/>
        </w:trPr>
        <w:tc>
          <w:tcPr>
            <w:tcW w:type="dxa" w:w="289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Kniazev Daniil</w:t>
            </w:r>
          </w:p>
        </w:tc>
        <w:tc>
          <w:tcPr>
            <w:tcW w:type="dxa" w:w="204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AIB-2602</w:t>
            </w:r>
          </w:p>
        </w:tc>
        <w:tc>
          <w:tcPr>
            <w:tcW w:type="dxa" w:w="1928"/>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262697</w:t>
            </w:r>
          </w:p>
        </w:tc>
        <w:tc>
          <w:tcPr>
            <w:tcW w:type="dxa" w:w="317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22 September 2026</w:t>
            </w:r>
          </w:p>
        </w:tc>
      </w:tr>
    </w:tbl>
    <w:p>
      <w:pPr>
        <w:widowControl/>
        <w:spacing w:after="100" w:before="80"/>
      </w:pPr>
      <w:r>
        <w:t>Company A: Carrefour   |   Company B: Magnum Cash&amp;Carry</w:t>
      </w:r>
    </w:p>
    <w:p>
      <w:pPr>
        <w:pStyle w:val="Heading1"/>
        <w:spacing w:before="160" w:after="80"/>
      </w:pPr>
      <w:r>
        <w:rPr>
          <w:color w:val="000000"/>
        </w:rPr>
        <w:t>A  Overall AI use</w:t>
      </w:r>
    </w:p>
    <w:p>
      <w:pPr>
        <w:widowControl/>
        <w:spacing w:after="100"/>
      </w:pPr>
      <w:r>
        <w:t>AI was used during preparation. The register and log below describe the systems, their roles and the resulting changes.</w:t>
      </w:r>
    </w:p>
    <w:p>
      <w:pPr>
        <w:pStyle w:val="Heading1"/>
        <w:spacing w:before="160" w:after="80"/>
      </w:pPr>
      <w:r>
        <w:rPr>
          <w:color w:val="000000"/>
        </w:rPr>
        <w:t>B  AI systems register</w:t>
      </w:r>
    </w:p>
    <w:tbl>
      <w:tblPr>
        <w:tblW w:w="10037"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8"/>
        <w:gridCol w:w="2098"/>
        <w:gridCol w:w="1928"/>
        <w:gridCol w:w="4593"/>
      </w:tblGrid>
      <w:tr>
        <w:trPr>
          <w:cantSplit/>
          <w:tblHeader/>
        </w:trPr>
        <w:tc>
          <w:tcPr>
            <w:tcW w:type="dxa" w:w="1417"/>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System</w:t>
            </w:r>
          </w:p>
        </w:tc>
        <w:tc>
          <w:tcPr>
            <w:tcW w:type="dxa" w:w="2098"/>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Provider and access</w:t>
            </w:r>
          </w:p>
        </w:tc>
        <w:tc>
          <w:tcPr>
            <w:tcW w:type="dxa" w:w="1928"/>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Dates used</w:t>
            </w:r>
          </w:p>
        </w:tc>
        <w:tc>
          <w:tcPr>
            <w:tcW w:type="dxa" w:w="4592"/>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Purpose</w:t>
            </w:r>
          </w:p>
        </w:tc>
      </w:tr>
      <w:tr>
        <w:trPr>
          <w:cantSplit/>
        </w:trPr>
        <w:tc>
          <w:tcPr>
            <w:tcW w:type="dxa" w:w="141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GPT-6 Astra</w:t>
            </w:r>
          </w:p>
        </w:tc>
        <w:tc>
          <w:tcPr>
            <w:tcW w:type="dxa" w:w="2098"/>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OpenAI, ChatGPT app</w:t>
            </w:r>
          </w:p>
        </w:tc>
        <w:tc>
          <w:tcPr>
            <w:tcW w:type="dxa" w:w="1928"/>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11–16 September 2026</w:t>
            </w:r>
          </w:p>
        </w:tc>
        <w:tc>
          <w:tcPr>
            <w:tcW w:type="dxa" w:w="4592"/>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Requirements and wording support for the Week 1 work.</w:t>
            </w:r>
          </w:p>
        </w:tc>
      </w:tr>
      <w:tr>
        <w:trPr>
          <w:cantSplit/>
        </w:trPr>
        <w:tc>
          <w:tcPr>
            <w:tcW w:type="dxa" w:w="141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Codex</w:t>
            </w:r>
          </w:p>
        </w:tc>
        <w:tc>
          <w:tcPr>
            <w:tcW w:type="dxa" w:w="2098"/>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OpenAI, Codex app</w:t>
            </w:r>
          </w:p>
        </w:tc>
        <w:tc>
          <w:tcPr>
            <w:tcW w:type="dxa" w:w="1928"/>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11–22 September 2026</w:t>
            </w:r>
          </w:p>
        </w:tc>
        <w:tc>
          <w:tcPr>
            <w:tcW w:type="dxa" w:w="4592"/>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Source search and checks, course-material analysis, drafting and revision, grammar, paraphrasing and document formatting.</w:t>
            </w:r>
          </w:p>
        </w:tc>
      </w:tr>
    </w:tbl>
    <w:p>
      <w:pPr>
        <w:pStyle w:val="Heading1"/>
        <w:spacing w:before="160" w:after="80"/>
      </w:pPr>
      <w:r>
        <w:rPr>
          <w:color w:val="000000"/>
        </w:rPr>
        <w:t>C  AI activity and source checks</w:t>
      </w:r>
    </w:p>
    <w:tbl>
      <w:tblPr>
        <w:tblW w:w="10036"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8"/>
        <w:gridCol w:w="3515"/>
        <w:gridCol w:w="4763"/>
      </w:tblGrid>
      <w:tr>
        <w:trPr>
          <w:cantSplit/>
          <w:tblHeader/>
        </w:trPr>
        <w:tc>
          <w:tcPr>
            <w:tcW w:type="dxa" w:w="1757"/>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Activity</w:t>
            </w:r>
          </w:p>
        </w:tc>
        <w:tc>
          <w:tcPr>
            <w:tcW w:type="dxa" w:w="3515"/>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AI contribution</w:t>
            </w:r>
          </w:p>
        </w:tc>
        <w:tc>
          <w:tcPr>
            <w:tcW w:type="dxa" w:w="4762"/>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Checks and resulting changes</w:t>
            </w:r>
          </w:p>
        </w:tc>
      </w:tr>
      <w:tr>
        <w:trPr>
          <w:cantSplit/>
        </w:trPr>
        <w:tc>
          <w:tcPr>
            <w:tcW w:type="dxa" w:w="175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Sources and facts</w:t>
            </w:r>
          </w:p>
        </w:tc>
        <w:tc>
          <w:tcPr>
            <w:tcW w:type="dxa" w:w="351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Codex found sources and compared claims with the publications.</w:t>
            </w:r>
          </w:p>
        </w:tc>
        <w:tc>
          <w:tcPr>
            <w:tcW w:type="dxa" w:w="4762"/>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Matched figures to their periods, distinguished national statistics from Magnum results, and changed Kazakhstan-only to Kazakhstan-based.</w:t>
            </w:r>
          </w:p>
        </w:tc>
      </w:tr>
      <w:tr>
        <w:trPr>
          <w:cantSplit/>
        </w:trPr>
        <w:tc>
          <w:tcPr>
            <w:tcW w:type="dxa" w:w="175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Analysis and wording</w:t>
            </w:r>
          </w:p>
        </w:tc>
        <w:tc>
          <w:tcPr>
            <w:tcW w:type="dxa" w:w="3515"/>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GPT-6 Astra supported wording; Codex drafted and revised records and comparison paragraphs.</w:t>
            </w:r>
          </w:p>
        </w:tc>
        <w:tc>
          <w:tcPr>
            <w:tcW w:type="dxa" w:w="4762"/>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Separated historical Hopla from later services. Used distinct transfer verdicts and added a changed-assumption stress test.</w:t>
            </w:r>
          </w:p>
        </w:tc>
      </w:tr>
      <w:tr>
        <w:trPr>
          <w:cantSplit/>
        </w:trPr>
        <w:tc>
          <w:tcPr>
            <w:tcW w:type="dxa" w:w="175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Document preparation</w:t>
            </w:r>
          </w:p>
        </w:tc>
        <w:tc>
          <w:tcPr>
            <w:tcW w:type="dxa" w:w="3515"/>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Codex assembled the records, report, tables, source register and declaration.</w:t>
            </w:r>
          </w:p>
        </w:tc>
        <w:tc>
          <w:tcPr>
            <w:tcW w:type="dxa" w:w="4762"/>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Checked word counts, citation order and rendered pages. Kept tables in portrait layout with visible text.</w:t>
            </w:r>
          </w:p>
        </w:tc>
      </w:tr>
    </w:tbl>
    <w:p>
      <w:r>
        <w:br w:type="page"/>
      </w:r>
    </w:p>
    <w:p>
      <w:pPr>
        <w:pStyle w:val="Heading1"/>
        <w:spacing w:before="160" w:after="80"/>
      </w:pPr>
      <w:r>
        <w:rPr>
          <w:color w:val="000000"/>
        </w:rPr>
        <w:t>D  Evidence and quantitative claims</w:t>
      </w:r>
    </w:p>
    <w:p>
      <w:pPr>
        <w:widowControl/>
        <w:spacing w:after="100"/>
      </w:pPr>
      <w:r>
        <w:t>The checks below were completed with Codex. The dated source notes and Weekly Record 1 field 3 record the indicator definitions and corrections.</w:t>
      </w:r>
    </w:p>
    <w:tbl>
      <w:tblPr>
        <w:tblW w:w="10037"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2"/>
        <w:gridCol w:w="1588"/>
        <w:gridCol w:w="5897"/>
      </w:tblGrid>
      <w:tr>
        <w:trPr>
          <w:cantSplit/>
          <w:tblHeader/>
        </w:trPr>
        <w:tc>
          <w:tcPr>
            <w:tcW w:type="dxa" w:w="2551"/>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Claim</w:t>
            </w:r>
          </w:p>
        </w:tc>
        <w:tc>
          <w:tcPr>
            <w:tcW w:type="dxa" w:w="1587"/>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Source</w:t>
            </w:r>
          </w:p>
        </w:tc>
        <w:tc>
          <w:tcPr>
            <w:tcW w:type="dxa" w:w="5896"/>
            <w:vAlign w:val="center"/>
            <w:tcMar>
              <w:top w:w="75" w:type="dxa"/>
              <w:bottom w:w="75" w:type="dxa"/>
              <w:left w:w="70" w:type="dxa"/>
              <w:right w:w="70" w:type="dxa"/>
            </w:tcMar>
            <w:shd w:fill="173B4C"/>
          </w:tcPr>
          <w:p>
            <w:pPr>
              <w:spacing w:before="0" w:after="0" w:line="252" w:lineRule="auto"/>
            </w:pPr>
            <w:r>
              <w:rPr>
                <w:rFonts w:ascii="Times New Roman" w:hAnsi="Times New Roman"/>
                <w:b/>
                <w:color w:val="FFFFFF"/>
                <w:sz w:val="20"/>
              </w:rPr>
              <w:t>Check and treatment</w:t>
            </w:r>
          </w:p>
        </w:tc>
      </w:tr>
      <w:tr>
        <w:trPr>
          <w:cantSplit/>
        </w:trPr>
        <w:tc>
          <w:tcPr>
            <w:tcW w:type="dxa" w:w="255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Inflation 9.8%, August 2026</w:t>
            </w:r>
          </w:p>
        </w:tc>
        <w:tc>
          <w:tcPr>
            <w:tcW w:type="dxa" w:w="158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[4]</w:t>
            </w:r>
          </w:p>
        </w:tc>
        <w:tc>
          <w:tcPr>
            <w:tcW w:type="dxa" w:w="5896"/>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Matched the BNS annual figure and comparison period. National CPI is not Magnum’s own price change.</w:t>
            </w:r>
          </w:p>
        </w:tc>
      </w:tr>
      <w:tr>
        <w:trPr>
          <w:cantSplit/>
        </w:trPr>
        <w:tc>
          <w:tcPr>
            <w:tcW w:type="dxa" w:w="255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E-commerce 14.3%, 2025</w:t>
            </w:r>
          </w:p>
        </w:tc>
        <w:tc>
          <w:tcPr>
            <w:tcW w:type="dxa" w:w="158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[8]</w:t>
            </w:r>
          </w:p>
        </w:tc>
        <w:tc>
          <w:tcPr>
            <w:tcW w:type="dxa" w:w="5896"/>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Matched the BNS retail share, including marketplaces. Labelled it as total retail, not grocery alone.</w:t>
            </w:r>
          </w:p>
        </w:tc>
      </w:tr>
      <w:tr>
        <w:trPr>
          <w:cantSplit/>
        </w:trPr>
        <w:tc>
          <w:tcPr>
            <w:tcW w:type="dxa" w:w="2551"/>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Company scale and other indicators</w:t>
            </w:r>
          </w:p>
        </w:tc>
        <w:tc>
          <w:tcPr>
            <w:tcW w:type="dxa" w:w="1587"/>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[2], [3], [5], [6], [10], [11]</w:t>
            </w:r>
          </w:p>
        </w:tc>
        <w:tc>
          <w:tcPr>
            <w:tcW w:type="dxa" w:w="5896"/>
            <w:vAlign w:val="center"/>
            <w:tcMar>
              <w:top w:w="75" w:type="dxa"/>
              <w:bottom w:w="75" w:type="dxa"/>
              <w:left w:w="70" w:type="dxa"/>
              <w:right w:w="70" w:type="dxa"/>
            </w:tcMar>
            <w:shd w:fill="F0F5F8"/>
          </w:tcPr>
          <w:p>
            <w:pPr>
              <w:spacing w:before="0" w:after="0" w:line="252" w:lineRule="auto"/>
            </w:pPr>
            <w:r>
              <w:rPr>
                <w:rFonts w:ascii="Times New Roman" w:hAnsi="Times New Roman"/>
                <w:b w:val="0"/>
                <w:color w:val="000000"/>
                <w:sz w:val="20"/>
              </w:rPr>
              <w:t>Retained the stated dates, franchise scope, GDP estimate status and national definitions. The import index is a price measure.</w:t>
            </w:r>
          </w:p>
        </w:tc>
      </w:tr>
      <w:tr>
        <w:trPr>
          <w:cantSplit/>
        </w:trPr>
        <w:tc>
          <w:tcPr>
            <w:tcW w:type="dxa" w:w="2551"/>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AI and ownership comparison</w:t>
            </w:r>
          </w:p>
        </w:tc>
        <w:tc>
          <w:tcPr>
            <w:tcW w:type="dxa" w:w="1587"/>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[12], [15], [18], [19], [20]</w:t>
            </w:r>
          </w:p>
        </w:tc>
        <w:tc>
          <w:tcPr>
            <w:tcW w:type="dxa" w:w="5896"/>
            <w:vAlign w:val="center"/>
            <w:tcMar>
              <w:top w:w="75" w:type="dxa"/>
              <w:bottom w:w="75" w:type="dxa"/>
              <w:left w:w="70" w:type="dxa"/>
              <w:right w:w="70" w:type="dxa"/>
            </w:tcMar>
            <w:shd w:fill="FFFFFF"/>
          </w:tcPr>
          <w:p>
            <w:pPr>
              <w:spacing w:before="0" w:after="0" w:line="252" w:lineRule="auto"/>
            </w:pPr>
            <w:r>
              <w:rPr>
                <w:rFonts w:ascii="Times New Roman" w:hAnsi="Times New Roman"/>
                <w:b w:val="0"/>
                <w:color w:val="000000"/>
                <w:sz w:val="20"/>
              </w:rPr>
              <w:t>Separated company and vendor announcements from outcomes. No Magnum AI return or beneficial ownership is inferred.</w:t>
            </w:r>
          </w:p>
        </w:tc>
      </w:tr>
    </w:tbl>
    <w:p>
      <w:pPr>
        <w:pStyle w:val="Heading1"/>
        <w:spacing w:before="160" w:after="80"/>
      </w:pPr>
      <w:r>
        <w:rPr>
          <w:color w:val="000000"/>
        </w:rPr>
        <w:t>E  Judgment and changes</w:t>
      </w:r>
    </w:p>
    <w:p>
      <w:pPr>
        <w:widowControl/>
        <w:spacing w:after="100"/>
      </w:pPr>
      <w:r>
        <w:t>The final analysis uses separate adapt, pilot, adopt, delay and reject decisions because the evidence does not establish that Carrefour’s whole model would suit Magnum. Assistant-supported revisions corrected the company’s geographic description, distinguished Hopla from later services and added a delay decision when stock records become unreliable.</w:t>
      </w:r>
    </w:p>
    <w:p>
      <w:pPr>
        <w:widowControl/>
        <w:spacing w:after="100"/>
      </w:pPr>
      <w:r>
        <w:t>Magnum’s beneficial ownership, internal approval limits and local AI returns are not established by the cited publications. The trials, controls and success measures are proposed actions.</w:t>
      </w:r>
    </w:p>
    <w:p>
      <w:pPr>
        <w:pStyle w:val="Heading1"/>
        <w:spacing w:before="160" w:after="80"/>
      </w:pPr>
      <w:r>
        <w:rPr>
          <w:color w:val="000000"/>
        </w:rPr>
        <w:t>F  Personal confirmations</w:t>
      </w:r>
    </w:p>
    <w:p>
      <w:pPr>
        <w:widowControl/>
        <w:spacing w:after="100"/>
      </w:pPr>
      <w:r>
        <w:t>☐ I have independently checked the final claims, figures and sources.</w:t>
        <w:br/>
        <w:t>☐ I have reviewed the transfer judgments and recommendations and can explain them.</w:t>
        <w:br/>
        <w:t>☐ I confirm that this declaration accurately describes the AI assistance used.</w:t>
      </w:r>
    </w:p>
    <w:p>
      <w:pPr>
        <w:pStyle w:val="Heading1"/>
        <w:spacing w:before="160" w:after="80"/>
      </w:pPr>
      <w:r>
        <w:rPr>
          <w:color w:val="000000"/>
        </w:rPr>
        <w:t>Final declaration</w:t>
      </w:r>
    </w:p>
    <w:p>
      <w:pPr>
        <w:widowControl/>
        <w:spacing w:after="100"/>
      </w:pPr>
      <w:r>
        <w:t>By signing, I confirm the statements selected above and take responsibility for the submitted work.</w:t>
      </w:r>
    </w:p>
    <w:p>
      <w:pPr>
        <w:widowControl/>
        <w:spacing w:after="100"/>
      </w:pPr>
      <w:r>
        <w:t>Student signature: ________________________    Date: ________________________</w:t>
      </w:r>
    </w:p>
    <w:sectPr w:rsidR="00FC693F" w:rsidRPr="0006063C" w:rsidSect="00034616">
      <w:pgSz w:w="11906" w:h="16838"/>
      <w:pgMar w:top="879"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t xml:space="preserve">Business Administration  |  Appendix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sz w:val="22"/>
      </w:rPr>
      <w:t>KNIAZEV DANIIL  |  AIB-2602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76"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76"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76"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contextualSpacing/>
    </w:pPr>
    <w:rPr>
      <w:rFonts w:ascii="Times New Roman" w:hAnsi="Times New Roman" w:eastAsia="Times New Roman" w:cs="Times New Roman"/>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6" w:lineRule="auto" w:before="0" w:after="120"/>
    </w:pPr>
    <w:rPr>
      <w:rFonts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76"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spacing w:line="276" w:lineRule="auto"/>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spacing w:line="276" w:lineRule="auto"/>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line="276" w:lineRule="auto"/>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spacing w:line="276" w:lineRule="auto"/>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spacing w:line="276"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spacing w:line="276" w:lineRule="auto"/>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spacing w:line="276" w:lineRule="auto"/>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line="276" w:lineRule="auto"/>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line="276" w:lineRule="auto"/>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line="276" w:lineRule="auto"/>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pPr>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after="120"/>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IDeclarationTitle">
    <w:name w:val="AI Declaration 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spacing w:val="5"/>
      <w:kern w:val="28"/>
      <w:sz w:val="38"/>
      <w:szCs w:val="52"/>
    </w:rPr>
  </w:style>
  <w:style w:type="paragraph" w:styleId="AIDeclarationHeading1">
    <w:name w:val="AI Declaration 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7365D"/>
      <w:sz w:val="26"/>
      <w:szCs w:val="28"/>
    </w:rPr>
  </w:style>
  <w:style w:type="paragraph" w:customStyle="1" w:styleId="AIDeclarationFormLabel">
    <w:name w:val="AI Declaration Form Label"/>
    <w:pPr>
      <w:spacing w:after="40"/>
    </w:pPr>
    <w:rPr>
      <w:rFonts w:ascii="Times New Roman" w:hAnsi="Times New Roman"/>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Business Administration Assignment 1</dc:subject>
  <dc:creator>Kniazev Daniil</dc:creator>
  <cp:keywords/>
  <dc:description/>
  <cp:lastModifiedBy/>
  <cp:revision>1</cp:revision>
  <dcterms:created xsi:type="dcterms:W3CDTF">2013-12-23T23:15:00Z</dcterms:created>
  <dcterms:modified xsi:type="dcterms:W3CDTF">2013-12-23T23:15:00Z</dcterms:modified>
  <cp:category/>
</cp:coreProperties>
</file>