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val="0"/>
        <w:keepLines/>
        <w:tabs>
          <w:tab w:pos="9098" w:val="right"/>
          <w:tab w:pos="9101" w:val="right"/>
        </w:tabs>
        <w:spacing w:before="0" w:after="0" w:line="220" w:lineRule="exact"/>
        <w:ind w:left="0"/>
      </w:pPr>
      <w:r>
        <w:rPr>
          <w:rFonts w:ascii="Arial" w:hAnsi="Arial"/>
          <w:b/>
          <w:color w:val="FFFFFF"/>
          <w:sz w:val="17"/>
        </w:rPr>
        <w:t>ASTANA IT UNIVERSITY</w:t>
      </w:r>
      <w:r>
        <w:rPr>
          <w:rFonts w:ascii="Arial" w:hAnsi="Arial"/>
          <w:b/>
          <w:color w:val="20354A"/>
          <w:sz w:val="17"/>
        </w:rPr>
        <w:tab/>
        <w:t>SEPTEMBER 22, 2026</w:t>
      </w:r>
    </w:p>
    <w:p>
      <w:pPr>
        <w:keepNext w:val="0"/>
        <w:keepLines/>
        <w:spacing w:before="1920" w:after="40" w:line="1560" w:lineRule="exact"/>
        <w:ind w:left="3384"/>
      </w:pPr>
      <w:r>
        <w:rPr>
          <w:rFonts w:ascii="Arial" w:hAnsi="Arial"/>
          <w:color w:val="20354A"/>
          <w:sz w:val="112"/>
          <w:position w:val="16"/>
        </w:rPr>
        <w:t>W1</w:t>
      </w:r>
    </w:p>
    <w:p>
      <w:pPr>
        <w:pStyle w:val="aa"/>
        <w:keepNext w:val="0"/>
        <w:keepLines/>
        <w:spacing w:before="360" w:after="240" w:line="900" w:lineRule="exact"/>
        <w:ind w:left="3384"/>
      </w:pPr>
      <w:r>
        <w:rPr>
          <w:rFonts w:ascii="Arial" w:hAnsi="Arial"/>
          <w:color w:val="000000"/>
          <w:sz w:val="80"/>
        </w:rPr>
        <w:t>Weekly</w:t>
        <w:br/>
        <w:t>Record</w:t>
      </w:r>
    </w:p>
    <w:p>
      <w:pPr>
        <w:keepNext w:val="0"/>
        <w:keepLines/>
        <w:spacing w:before="160" w:after="0" w:line="280" w:lineRule="exact"/>
        <w:ind w:left="3384"/>
      </w:pPr>
      <w:r>
        <w:rPr>
          <w:rFonts w:ascii="Arial" w:hAnsi="Arial"/>
          <w:b/>
          <w:color w:val="20354A"/>
          <w:sz w:val="18"/>
        </w:rPr>
        <w:t>BUSINESS ADMINISTRATION</w:t>
        <w:br/>
        <w:t>CARREFOUR AND MAGNUM CASH&amp;CARRY</w:t>
      </w:r>
    </w:p>
    <w:p>
      <w:pPr>
        <w:keepNext w:val="0"/>
        <w:keepLines/>
        <w:spacing w:before="4400" w:after="0" w:line="280" w:lineRule="exact"/>
        <w:ind w:left="0"/>
      </w:pPr>
      <w:r>
        <w:rPr>
          <w:rFonts w:ascii="Arial" w:hAnsi="Arial"/>
          <w:b/>
          <w:color w:val="9FDCE4"/>
          <w:sz w:val="16"/>
        </w:rPr>
        <w:t>PREPARED BY</w:t>
        <w:br/>
      </w:r>
      <w:r>
        <w:rPr>
          <w:rFonts w:ascii="Arial" w:hAnsi="Arial"/>
          <w:b/>
          <w:color w:val="FFFFFF"/>
          <w:sz w:val="20"/>
        </w:rPr>
        <w:t>KNIAZEV DANIIL</w:t>
        <w:br/>
      </w:r>
      <w:r>
        <w:rPr>
          <w:rFonts w:ascii="Arial" w:hAnsi="Arial"/>
          <w:color w:val="FFFFFF"/>
          <w:sz w:val="17"/>
        </w:rPr>
        <w:t>262697@astanait.edu.kz</w:t>
      </w:r>
    </w:p>
    <w:p>
      <w:pPr>
        <w:keepNext w:val="0"/>
        <w:keepLines/>
        <w:spacing w:before="0" w:after="0" w:line="20" w:lineRule="exact"/>
        <w:ind w:left="0"/>
        <w:sectPr w:rsidR="00973AD6" w:rsidSect="00034616">
          <w:pgSz w:w="11906" w:h="16838"/>
          <w:pgMar w:top="1512" w:right="1404" w:bottom="720" w:left="1404" w:header="720" w:footer="720" w:gutter="0"/>
          <w:cols w:space="720"/>
          <w:docGrid w:linePitch="360"/>
          <w:headerReference w:type="default" r:id="rId14"/>
          <w:footerReference w:type="default" r:id="rId16"/>
          <w:type w:val="nextPage"/>
        </w:sectPr>
      </w:pPr>
      <w:r>
        <w:rPr>
          <w:rFonts w:ascii="Arial" w:hAnsi="Arial"/>
          <w:b w:val="0"/>
          <w:color w:val="FFFFFF"/>
          <w:sz w:val="2"/>
        </w:rPr>
      </w:r>
    </w:p>
    <w:p>
      <w:pPr>
        <w:pStyle w:val="aa"/>
        <w:widowControl/>
        <w:spacing w:after="100"/>
      </w:pPr>
      <w:r>
        <w:rPr>
          <w:color w:val="000000"/>
          <w:sz w:val="44"/>
        </w:rPr>
        <w:t>Business context and AI opportunities</w:t>
      </w:r>
    </w:p>
    <w:p>
      <w:pPr>
        <w:widowControl/>
        <w:spacing w:after="100"/>
      </w:pPr>
      <w:r>
        <w:t>Weekly Record 1   •   Carrefour and Magnum Cash&amp;Carry</w:t>
      </w:r>
    </w:p>
    <w:p>
      <w:pPr>
        <w:pStyle w:val="1"/>
        <w:spacing w:before="160" w:after="80"/>
      </w:pPr>
      <w:r>
        <w:rPr>
          <w:color w:val="000000"/>
        </w:rPr>
        <w:t>1  Concept</w:t>
      </w:r>
    </w:p>
    <w:p>
      <w:pPr>
        <w:widowControl/>
        <w:spacing w:after="100"/>
      </w:pPr>
      <w:r>
        <w:t>Businesses combine natural resources, labour, capital, entrepreneurship and knowledge to create value. Retailers offer availability and convenience. Economic systems organise resources differently; inflation, employment and growth influence business decisions. Supply, demand and competition affect prices [1].</w:t>
      </w:r>
    </w:p>
    <w:p>
      <w:pPr>
        <w:widowControl/>
        <w:spacing w:after="100"/>
      </w:pPr>
      <w:r>
        <w:t>Concept Check, section 1.1: how do revenue, costs and profit differ? When a shopper buys bread at Magnum, the money received is revenue. The shop pays for the bread, wages and rent. Profit is what remains after all costs. Higher sales alone do not establish higher profit.</w:t>
      </w:r>
    </w:p>
    <w:p>
      <w:pPr>
        <w:pStyle w:val="1"/>
        <w:spacing w:before="160" w:after="80"/>
      </w:pPr>
      <w:r>
        <w:rPr>
          <w:color w:val="000000"/>
        </w:rPr>
        <w:t>2  Application</w:t>
      </w:r>
    </w:p>
    <w:p>
      <w:pPr>
        <w:widowControl/>
        <w:spacing w:after="100"/>
      </w:pPr>
      <w:r>
        <w:t>Company A is Carrefour SA, an international retailer with franchised operations: 15,415 stores under its banners at 30 June 2026 [2]. Company B is Magnum Cash&amp;Carry, serving households and businesses in Kazakhstan. Magnum reported over 200 stores on 1 July 2026 [3]. Carrefour provides documented practices to compare; Magnum provides the local setting. The question is whether assisted ordering or search could improve service at an acceptable cost.</w:t>
      </w:r>
    </w:p>
    <w:p>
      <w:pPr>
        <w:pStyle w:val="21"/>
        <w:keepNext/>
        <w:widowControl/>
        <w:spacing w:after="100"/>
      </w:pPr>
      <w:r>
        <w:t>Table 1  Environment and AI opportunity map</w:t>
      </w:r>
    </w:p>
    <w:tbl>
      <w:tblPr>
        <w:tblW w:w="10036" w:type="dxa"/>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31"/>
        <w:gridCol w:w="1843"/>
        <w:gridCol w:w="3827"/>
        <w:gridCol w:w="2835"/>
      </w:tblGrid>
      <w:tr>
        <w:trPr>
          <w:cantSplit/>
          <w:tblHeader/>
        </w:trPr>
        <w:tc>
          <w:tcPr>
            <w:tcW w:type="dxa" w:w="1531"/>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Factor</w:t>
            </w:r>
          </w:p>
        </w:tc>
        <w:tc>
          <w:tcPr>
            <w:tcW w:type="dxa" w:w="1843"/>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Effect on Magnum</w:t>
            </w:r>
          </w:p>
        </w:tc>
        <w:tc>
          <w:tcPr>
            <w:tcW w:type="dxa" w:w="3827"/>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Evidence</w:t>
            </w:r>
          </w:p>
        </w:tc>
        <w:tc>
          <w:tcPr>
            <w:tcW w:type="dxa" w:w="2835"/>
            <w:vAlign w:val="center"/>
            <w:tcMar>
              <w:top w:w="75" w:type="dxa"/>
              <w:bottom w:w="75" w:type="dxa"/>
              <w:left w:w="70" w:type="dxa"/>
              <w:right w:w="70" w:type="dxa"/>
            </w:tcMar>
            <w:shd w:fill="173B4C"/>
          </w:tcPr>
          <w:p>
            <w:pPr>
              <w:spacing w:before="0" w:after="0" w:line="252" w:lineRule="auto"/>
            </w:pPr>
            <w:r>
              <w:rPr>
                <w:rFonts w:ascii="Calibri" w:hAnsi="Calibri"/>
                <w:b/>
                <w:color w:val="FFFFFF"/>
                <w:sz w:val="19"/>
              </w:rPr>
              <w:t>Possible AI use and control</w:t>
            </w:r>
          </w:p>
        </w:tc>
      </w:tr>
      <w:tr>
        <w:trPr>
          <w:cantSplit/>
        </w:trPr>
        <w:tc>
          <w:tcPr>
            <w:tcW w:type="dxa" w:w="1531"/>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Economic</w:t>
            </w:r>
          </w:p>
        </w:tc>
        <w:tc>
          <w:tcPr>
            <w:tcW w:type="dxa" w:w="1843"/>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Affordability, costs and employment affect demand.</w:t>
            </w:r>
          </w:p>
        </w:tc>
        <w:tc>
          <w:tcPr>
            <w:tcW w:type="dxa" w:w="3827"/>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BNS, 1 Sep. 2026: annual inflation 9.8%, Aug. 2026/Aug. 2025. BNS, 14 Aug. 2026: real GDP +4.1%, H1 2026/H1 2025, flash estimate. BNS, 13 Aug. 2026: unemployment 4.5%, Q2 2026. [4], [5], [6]</w:t>
            </w:r>
          </w:p>
        </w:tc>
        <w:tc>
          <w:tcPr>
            <w:tcW w:type="dxa" w:w="2835"/>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Forecast sales; category managers verify errors and approve orders. Retain manual ordering.</w:t>
            </w:r>
          </w:p>
        </w:tc>
      </w:tr>
      <w:tr>
        <w:trPr>
          <w:cantSplit/>
        </w:trPr>
        <w:tc>
          <w:tcPr>
            <w:tcW w:type="dxa" w:w="1531"/>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Political and legal</w:t>
            </w:r>
          </w:p>
        </w:tc>
        <w:tc>
          <w:tcPr>
            <w:tcW w:type="dxa" w:w="1843"/>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Personal data require privacy controls.</w:t>
            </w:r>
          </w:p>
        </w:tc>
        <w:tc>
          <w:tcPr>
            <w:tcW w:type="dxa" w:w="3827"/>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Kazakhstan Personal Data Law, 21 May 2013, No. 94-V, art. 5: lawfulness, confidentiality, security. Checked 11 Sep. 2026. [7]</w:t>
            </w:r>
          </w:p>
        </w:tc>
        <w:tc>
          <w:tcPr>
            <w:tcW w:type="dxa" w:w="2835"/>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Assist rule searches; legal staff verify obligations. Use approved or aggregate data.</w:t>
            </w:r>
          </w:p>
        </w:tc>
      </w:tr>
      <w:tr>
        <w:trPr>
          <w:cantSplit/>
        </w:trPr>
        <w:tc>
          <w:tcPr>
            <w:tcW w:type="dxa" w:w="1531"/>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Technological</w:t>
            </w:r>
          </w:p>
        </w:tc>
        <w:tc>
          <w:tcPr>
            <w:tcW w:type="dxa" w:w="1843"/>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Online shopping encourages better search and availability.</w:t>
            </w:r>
          </w:p>
        </w:tc>
        <w:tc>
          <w:tcPr>
            <w:tcW w:type="dxa" w:w="3827"/>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BNS, 25 May 2026: e-commerce was 14.3% of total retail trade in 2025, including marketplaces; not grocery-specific. [8]</w:t>
            </w:r>
          </w:p>
        </w:tc>
        <w:tc>
          <w:tcPr>
            <w:tcW w:type="dxa" w:w="2835"/>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Pilot catalogue search. Verify product facts; retain ordinary search and staff support.</w:t>
            </w:r>
          </w:p>
        </w:tc>
      </w:tr>
      <w:tr>
        <w:trPr>
          <w:cantSplit/>
        </w:trPr>
        <w:tc>
          <w:tcPr>
            <w:tcW w:type="dxa" w:w="1531"/>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Competitive</w:t>
            </w:r>
          </w:p>
        </w:tc>
        <w:tc>
          <w:tcPr>
            <w:tcW w:type="dxa" w:w="1843"/>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SMALL competes in Kazakhstan grocery retail.</w:t>
            </w:r>
          </w:p>
        </w:tc>
        <w:tc>
          <w:tcPr>
            <w:tcW w:type="dxa" w:w="3827"/>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SMALL, Small Tech, undated; accessed 11 Sep. 2026: retail network and technology infrastructure. AI deployment unconfirmed. [9]</w:t>
            </w:r>
          </w:p>
        </w:tc>
        <w:tc>
          <w:tcPr>
            <w:tcW w:type="dxa" w:w="2835"/>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Compare public offers; staff check matching products and dates.</w:t>
            </w:r>
          </w:p>
        </w:tc>
      </w:tr>
      <w:tr>
        <w:trPr>
          <w:cantSplit/>
        </w:trPr>
        <w:tc>
          <w:tcPr>
            <w:tcW w:type="dxa" w:w="1531"/>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Demographic and social</w:t>
            </w:r>
          </w:p>
        </w:tc>
        <w:tc>
          <w:tcPr>
            <w:tcW w:type="dxa" w:w="1843"/>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Market size does not establish preferences or trust.</w:t>
            </w:r>
          </w:p>
        </w:tc>
        <w:tc>
          <w:tcPr>
            <w:tcW w:type="dxa" w:w="3827"/>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BNS, 1 Sep. 2026: population 20,604,819 as of 1 Aug. 2026. [10]</w:t>
            </w:r>
          </w:p>
        </w:tc>
        <w:tc>
          <w:tcPr>
            <w:tcW w:type="dxa" w:w="2835"/>
            <w:vAlign w:val="center"/>
            <w:tcMar>
              <w:top w:w="75" w:type="dxa"/>
              <w:bottom w:w="75" w:type="dxa"/>
              <w:left w:w="70" w:type="dxa"/>
              <w:right w:w="70" w:type="dxa"/>
            </w:tcMar>
            <w:shd w:fill="F0F5F8"/>
          </w:tcPr>
          <w:p>
            <w:pPr>
              <w:spacing w:before="0" w:after="0" w:line="252" w:lineRule="auto"/>
            </w:pPr>
            <w:r>
              <w:rPr>
                <w:rFonts w:ascii="Calibri" w:hAnsi="Calibri"/>
                <w:b w:val="0"/>
                <w:color w:val="000000"/>
                <w:sz w:val="19"/>
              </w:rPr>
              <w:t>Analyze aggregate demand; test language preferences. Keep human complaint handling.</w:t>
            </w:r>
          </w:p>
        </w:tc>
      </w:tr>
      <w:tr>
        <w:trPr>
          <w:cantSplit/>
        </w:trPr>
        <w:tc>
          <w:tcPr>
            <w:tcW w:type="dxa" w:w="1531"/>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Global supply network</w:t>
            </w:r>
          </w:p>
        </w:tc>
        <w:tc>
          <w:tcPr>
            <w:tcW w:type="dxa" w:w="1843"/>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Import prices may affect procurement, but do not prove delays.</w:t>
            </w:r>
          </w:p>
        </w:tc>
        <w:tc>
          <w:tcPr>
            <w:tcW w:type="dxa" w:w="3827"/>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BNS, Statistics of prices, accessed 11 Sep. 2026: import-price index 101.6%, Jun. 2026/Jun. 2025 (+1.6%). Publication date unconfirmed. [11]</w:t>
            </w:r>
          </w:p>
        </w:tc>
        <w:tc>
          <w:tcPr>
            <w:tcW w:type="dxa" w:w="2835"/>
            <w:vAlign w:val="center"/>
            <w:tcMar>
              <w:top w:w="75" w:type="dxa"/>
              <w:bottom w:w="75" w:type="dxa"/>
              <w:left w:w="70" w:type="dxa"/>
              <w:right w:w="70" w:type="dxa"/>
            </w:tcMar>
            <w:shd w:fill="FFFFFF"/>
          </w:tcPr>
          <w:p>
            <w:pPr>
              <w:spacing w:before="0" w:after="0" w:line="252" w:lineRule="auto"/>
            </w:pPr>
            <w:r>
              <w:rPr>
                <w:rFonts w:ascii="Calibri" w:hAnsi="Calibri"/>
                <w:b w:val="0"/>
                <w:color w:val="000000"/>
                <w:sz w:val="19"/>
              </w:rPr>
              <w:t>Flag invoice changes; procurement verifies alerts and approves decisions.</w:t>
            </w:r>
          </w:p>
        </w:tc>
      </w:tr>
    </w:tbl>
    <w:p>
      <w:pPr>
        <w:widowControl/>
        <w:spacing w:after="100" w:before="80"/>
      </w:pPr>
      <w:r>
        <w:rPr>
          <w:sz w:val="18"/>
        </w:rPr>
        <w:t>Source: the dated publications cited in each row. Effects and proposed AI uses require local testing.</w:t>
      </w:r>
    </w:p>
    <w:p>
      <w:r/>
    </w:p>
    <w:p>
      <w:pPr>
        <w:pStyle w:val="1"/>
        <w:spacing w:before="160" w:after="80"/>
      </w:pPr>
      <w:r>
        <w:rPr>
          <w:color w:val="000000"/>
        </w:rPr>
        <w:t>3  Verification and AI record</w:t>
      </w:r>
    </w:p>
    <w:p>
      <w:pPr>
        <w:widowControl/>
        <w:spacing w:after="100"/>
      </w:pPr>
      <w:r>
        <w:t>Source checks with Codex matched the periods and values in the map: inflation, real GDP, unemployment, e-commerce, population and import prices. The Carrefour count includes franchise markets; Magnum’s count is a company statement. The e-commerce figure includes marketplaces. The import index of 101.6% means a 1.6% increase; its access date is used because the publication day is unspecified. These checks and source locations are recorded in the Evidence Folder.</w:t>
      </w:r>
    </w:p>
    <w:p>
      <w:pPr>
        <w:widowControl/>
        <w:spacing w:after="100"/>
      </w:pPr>
      <w:r>
        <w:t>The inflation evidence makes affordability relevant, but store sales and shopper feedback are needed to identify which products people will buy. GPT-6 Astra in the ChatGPT app helped with requirements and wording. Codex helped find and check sources, analyse course materials, draft revisions and format the document.</w:t>
      </w:r>
    </w:p>
    <w:p>
      <w:pPr>
        <w:pStyle w:val="1"/>
        <w:spacing w:before="160" w:after="80"/>
      </w:pPr>
      <w:r>
        <w:rPr>
          <w:color w:val="000000"/>
        </w:rPr>
        <w:t>4  Transfer</w:t>
      </w:r>
    </w:p>
    <w:p>
      <w:pPr>
        <w:widowControl/>
        <w:spacing w:after="100"/>
      </w:pPr>
      <w:r>
        <w:t>Carrefour launched Hopla in France on 8 June 2023 [12]. Magnum could test whether Kazakh and Russian questions lead to available catalogue items, with staff help when search fails. Forecasting needs a separate comparison against current ordering, using errors and stockouts. Managers should retain order approval and complaints. Expansion depends on benefits covering costs, protected customer data and a usable manual process.</w:t>
      </w:r>
    </w:p>
    <w:p>
      <w:pPr>
        <w:pStyle w:val="1"/>
        <w:spacing w:before="160" w:after="80"/>
      </w:pPr>
      <w:r>
        <w:rPr>
          <w:color w:val="000000"/>
        </w:rPr>
        <w:t>5  Evidence</w:t>
      </w:r>
    </w:p>
    <w:p>
      <w:pPr>
        <w:widowControl/>
        <w:spacing w:after="100"/>
      </w:pPr>
      <w:r>
        <w:t>The Evidence Folder records the company scale statements, Kazakhstan indicators and Carrefour’s Hopla announcement, with dates, links and claim checks. Source numbers match the Evidence Folder.</w:t>
      </w:r>
    </w:p>
    <w:p>
      <w:pPr>
        <w:pStyle w:val="1"/>
        <w:spacing w:before="160" w:after="80"/>
      </w:pPr>
      <w:r>
        <w:rPr>
          <w:color w:val="000000"/>
        </w:rPr>
        <w:t>6  Capstone link</w:t>
      </w:r>
    </w:p>
    <w:p>
      <w:pPr>
        <w:widowControl/>
        <w:spacing w:after="100"/>
      </w:pPr>
      <w:r>
        <w:t>This record develops Capstone section 1, Business context, and sets the questions for the comparison.</w:t>
      </w:r>
    </w:p>
    <w:p>
      <w:pPr>
        <w:pStyle w:val="1"/>
        <w:spacing w:before="160" w:after="80"/>
      </w:pPr>
      <w:r>
        <w:rPr>
          <w:color w:val="000000"/>
        </w:rPr>
        <w:t>References</w:t>
      </w:r>
    </w:p>
    <w:p>
      <w:pPr>
        <w:spacing w:after="80" w:line="252" w:lineRule="auto"/>
        <w:ind w:left="369" w:hanging="369"/>
      </w:pPr>
      <w:r>
        <w:rPr>
          <w:sz w:val="19"/>
        </w:rPr>
        <w:t xml:space="preserve">[1] L. J. Gitman et al., </w:t>
      </w:r>
      <w:hyperlink r:id="rId17">
        <w:r>
          <w:rPr>
            <w:color w:val="173B4C"/>
            <w:sz w:val="19"/>
          </w:rPr>
          <w:t>“Introduction to Business,”</w:t>
        </w:r>
      </w:hyperlink>
      <w:r>
        <w:rPr>
          <w:sz w:val="19"/>
        </w:rPr>
        <w:t xml:space="preserve"> 2nd ed., OpenStax, 2026.</w:t>
      </w:r>
    </w:p>
    <w:p>
      <w:pPr>
        <w:spacing w:after="80" w:line="252" w:lineRule="auto"/>
        <w:ind w:left="369" w:hanging="369"/>
      </w:pPr>
      <w:r>
        <w:rPr>
          <w:sz w:val="19"/>
        </w:rPr>
        <w:t xml:space="preserve">[2] Carrefour, </w:t>
      </w:r>
      <w:hyperlink r:id="rId11">
        <w:r>
          <w:rPr>
            <w:color w:val="173B4C"/>
            <w:sz w:val="19"/>
          </w:rPr>
          <w:t>“Q2 2026 sales and H1 2026 results,”</w:t>
        </w:r>
      </w:hyperlink>
      <w:r>
        <w:rPr>
          <w:sz w:val="19"/>
        </w:rPr>
        <w:t xml:space="preserve"> Jul. 23, 2026.</w:t>
      </w:r>
    </w:p>
    <w:p>
      <w:pPr>
        <w:spacing w:after="80" w:line="252" w:lineRule="auto"/>
        <w:ind w:left="369" w:hanging="369"/>
      </w:pPr>
      <w:r>
        <w:rPr>
          <w:sz w:val="19"/>
        </w:rPr>
        <w:t xml:space="preserve">[3] Magnum Cash&amp;Carry, </w:t>
      </w:r>
      <w:hyperlink r:id="rId12">
        <w:r>
          <w:rPr>
            <w:color w:val="173B4C"/>
            <w:sz w:val="19"/>
          </w:rPr>
          <w:t>“How to get a job at Magnum,”</w:t>
        </w:r>
      </w:hyperlink>
      <w:r>
        <w:rPr>
          <w:sz w:val="19"/>
        </w:rPr>
        <w:t xml:space="preserve"> Jul. 1, 2026.</w:t>
      </w:r>
    </w:p>
    <w:p>
      <w:pPr>
        <w:spacing w:after="80" w:line="252" w:lineRule="auto"/>
        <w:ind w:left="369" w:hanging="369"/>
      </w:pPr>
      <w:r>
        <w:rPr>
          <w:sz w:val="19"/>
        </w:rPr>
        <w:t xml:space="preserve">[4] Bureau of National Statistics of Kazakhstan, </w:t>
      </w:r>
      <w:hyperlink r:id="rId23">
        <w:r>
          <w:rPr>
            <w:color w:val="173B4C"/>
            <w:sz w:val="19"/>
          </w:rPr>
          <w:t>“Inflation in the Republic of Kazakhstan August 2026,”</w:t>
        </w:r>
      </w:hyperlink>
      <w:r>
        <w:rPr>
          <w:sz w:val="19"/>
        </w:rPr>
        <w:t xml:space="preserve"> Sep. 1, 2026.</w:t>
      </w:r>
    </w:p>
    <w:p>
      <w:pPr>
        <w:spacing w:after="80" w:line="252" w:lineRule="auto"/>
        <w:ind w:left="369" w:hanging="369"/>
      </w:pPr>
      <w:r>
        <w:rPr>
          <w:sz w:val="19"/>
        </w:rPr>
        <w:t xml:space="preserve">[5] Bureau of National Statistics of Kazakhstan, </w:t>
      </w:r>
      <w:hyperlink r:id="rId24">
        <w:r>
          <w:rPr>
            <w:color w:val="173B4C"/>
            <w:sz w:val="19"/>
          </w:rPr>
          <w:t>“GDP for January to June 2026 flash estimate,”</w:t>
        </w:r>
      </w:hyperlink>
      <w:r>
        <w:rPr>
          <w:sz w:val="19"/>
        </w:rPr>
        <w:t xml:space="preserve"> Aug. 14, 2026.</w:t>
      </w:r>
    </w:p>
    <w:p>
      <w:pPr>
        <w:spacing w:after="80" w:line="252" w:lineRule="auto"/>
        <w:ind w:left="369" w:hanging="369"/>
      </w:pPr>
      <w:r>
        <w:rPr>
          <w:sz w:val="19"/>
        </w:rPr>
        <w:t xml:space="preserve">[6] Bureau of National Statistics of Kazakhstan, </w:t>
      </w:r>
      <w:hyperlink r:id="rId25">
        <w:r>
          <w:rPr>
            <w:color w:val="173B4C"/>
            <w:sz w:val="19"/>
          </w:rPr>
          <w:t>“Labour market in the Republic of Kazakhstan Q2 2026,”</w:t>
        </w:r>
      </w:hyperlink>
      <w:r>
        <w:rPr>
          <w:sz w:val="19"/>
        </w:rPr>
        <w:t xml:space="preserve"> Aug. 13, 2026.</w:t>
      </w:r>
    </w:p>
    <w:p>
      <w:pPr>
        <w:spacing w:after="80" w:line="252" w:lineRule="auto"/>
        <w:ind w:left="369" w:hanging="369"/>
      </w:pPr>
      <w:r>
        <w:rPr>
          <w:sz w:val="19"/>
        </w:rPr>
        <w:t xml:space="preserve">[7] Republic of Kazakhstan, </w:t>
      </w:r>
      <w:hyperlink r:id="rId26">
        <w:r>
          <w:rPr>
            <w:color w:val="173B4C"/>
            <w:sz w:val="19"/>
          </w:rPr>
          <w:t>“On Personal Data and their Protection,”</w:t>
        </w:r>
      </w:hyperlink>
      <w:r>
        <w:rPr>
          <w:sz w:val="19"/>
        </w:rPr>
        <w:t xml:space="preserve"> May 21, 2013, Law No. 94-V, art. 5.</w:t>
      </w:r>
    </w:p>
    <w:p>
      <w:pPr>
        <w:spacing w:after="80" w:line="252" w:lineRule="auto"/>
        <w:ind w:left="369" w:hanging="369"/>
      </w:pPr>
      <w:r>
        <w:rPr>
          <w:sz w:val="19"/>
        </w:rPr>
        <w:t xml:space="preserve">[8] Bureau of National Statistics of Kazakhstan, </w:t>
      </w:r>
      <w:hyperlink r:id="rId27">
        <w:r>
          <w:rPr>
            <w:color w:val="173B4C"/>
            <w:sz w:val="19"/>
          </w:rPr>
          <w:t>“E-commerce in the Republic of Kazakhstan 2025,”</w:t>
        </w:r>
      </w:hyperlink>
      <w:r>
        <w:rPr>
          <w:sz w:val="19"/>
        </w:rPr>
        <w:t xml:space="preserve"> May 25, 2026.</w:t>
      </w:r>
    </w:p>
    <w:p>
      <w:pPr>
        <w:spacing w:after="80" w:line="252" w:lineRule="auto"/>
        <w:ind w:left="369" w:hanging="369"/>
      </w:pPr>
      <w:r>
        <w:rPr>
          <w:sz w:val="19"/>
        </w:rPr>
        <w:t xml:space="preserve">[9] SMALL, </w:t>
      </w:r>
      <w:hyperlink r:id="rId28">
        <w:r>
          <w:rPr>
            <w:color w:val="173B4C"/>
            <w:sz w:val="19"/>
          </w:rPr>
          <w:t>“Small Tech,”</w:t>
        </w:r>
      </w:hyperlink>
      <w:r>
        <w:rPr>
          <w:sz w:val="19"/>
        </w:rPr>
        <w:t xml:space="preserve"> n.d.</w:t>
      </w:r>
    </w:p>
    <w:p>
      <w:pPr>
        <w:spacing w:after="80" w:line="252" w:lineRule="auto"/>
        <w:ind w:left="369" w:hanging="369"/>
      </w:pPr>
      <w:r>
        <w:rPr>
          <w:sz w:val="19"/>
        </w:rPr>
        <w:t xml:space="preserve">[10] Bureau of National Statistics of Kazakhstan, </w:t>
      </w:r>
      <w:hyperlink r:id="rId29">
        <w:r>
          <w:rPr>
            <w:color w:val="173B4C"/>
            <w:sz w:val="19"/>
          </w:rPr>
          <w:t>“Demographic statistics,”</w:t>
        </w:r>
      </w:hyperlink>
      <w:r>
        <w:rPr>
          <w:sz w:val="19"/>
        </w:rPr>
        <w:t xml:space="preserve"> Sep. 1, 2026 update.</w:t>
      </w:r>
    </w:p>
    <w:p>
      <w:pPr>
        <w:spacing w:after="80" w:line="252" w:lineRule="auto"/>
        <w:ind w:left="369" w:hanging="369"/>
      </w:pPr>
      <w:r>
        <w:rPr>
          <w:sz w:val="19"/>
        </w:rPr>
        <w:t xml:space="preserve">[11] Bureau of National Statistics of Kazakhstan, </w:t>
      </w:r>
      <w:hyperlink r:id="rId30">
        <w:r>
          <w:rPr>
            <w:color w:val="173B4C"/>
            <w:sz w:val="19"/>
          </w:rPr>
          <w:t>“Statistics of prices,”</w:t>
        </w:r>
      </w:hyperlink>
      <w:r>
        <w:rPr>
          <w:sz w:val="19"/>
        </w:rPr>
        <w:t xml:space="preserve"> n.d.</w:t>
      </w:r>
    </w:p>
    <w:p>
      <w:pPr>
        <w:spacing w:after="80" w:line="252" w:lineRule="auto"/>
        <w:ind w:left="369" w:hanging="369"/>
      </w:pPr>
      <w:r>
        <w:rPr>
          <w:sz w:val="19"/>
        </w:rPr>
        <w:t xml:space="preserve">[12] Carrefour, </w:t>
      </w:r>
      <w:hyperlink r:id="rId13">
        <w:r>
          <w:rPr>
            <w:color w:val="173B4C"/>
            <w:sz w:val="19"/>
          </w:rPr>
          <w:t>“Carrefour integrates OpenAI technologies and launches a generative AI powered shopping experience,”</w:t>
        </w:r>
      </w:hyperlink>
      <w:r>
        <w:rPr>
          <w:sz w:val="19"/>
        </w:rPr>
        <w:t xml:space="preserve"> Jun. 8, 2023.</w:t>
      </w:r>
    </w:p>
    <w:sectPr w:rsidR="00973AD6" w:rsidSect="00034616">
      <w:footerReference w:type="default" r:id="rId8"/>
      <w:headerReference w:type="default" r:id="rId15"/>
      <w:pgSz w:w="11906" w:h="16838"/>
      <w:pgMar w:top="879" w:right="935" w:bottom="879" w:left="935" w:header="720" w:footer="72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7D0243" w14:textId="77777777" w:rsidR="00A90FD0" w:rsidRDefault="00A90FD0">
      <w:pPr>
        <w:spacing w:after="0" w:line="240" w:lineRule="auto"/>
      </w:pPr>
      <w:r>
        <w:separator/>
      </w:r>
    </w:p>
  </w:endnote>
  <w:endnote w:type="continuationSeparator" w:id="0">
    <w:p w14:paraId="6927AD82" w14:textId="77777777" w:rsidR="00A90FD0" w:rsidRDefault="00A90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C1029A" w14:textId="62877111" w:rsidR="00973AD6" w:rsidRDefault="00000000">
    <w:pPr>
      <w:pStyle w:val="a7"/>
      <w:jc w:val="right"/>
    </w:pPr>
    <w:r>
      <w:rPr>
        <w:sz w:val="16"/>
      </w:rPr>
      <w:t xml:space="preserve"> </w:t>
    </w:r>
    <w:r>
      <w:fldChar w:fldCharType="begin"/>
    </w:r>
    <w:r>
      <w:instrText>PAGE</w:instrText>
    </w:r>
    <w:r>
      <w:fldChar w:fldCharType="separate"/>
    </w:r>
    <w:r w:rsidR="009B6C06">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E2E022" w14:textId="77777777" w:rsidR="00A90FD0" w:rsidRDefault="00A90FD0">
      <w:pPr>
        <w:spacing w:after="0" w:line="240" w:lineRule="auto"/>
      </w:pPr>
      <w:r>
        <w:separator/>
      </w:r>
    </w:p>
  </w:footnote>
  <w:footnote w:type="continuationSeparator" w:id="0">
    <w:p w14:paraId="64E3F27E" w14:textId="77777777" w:rsidR="00A90FD0" w:rsidRDefault="00A90FD0">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se" style="position:absolute;margin-left:0pt;margin-top:0pt;width:595.3pt;height:841.9pt;z-index:-251654144;mso-position-horizontal-relative:page;mso-position-vertical-relative:page" fillcolor="#F7F9FB" stroked="f">
          <w10:wrap type="none" anchorx="page" anchory="page"/>
        </v:rect>
      </w:pict>
    </w:r>
    <w:r>
      <w:pict>
        <v:rect id="SidePanel" style="position:absolute;margin-left:0pt;margin-top:0pt;width:215pt;height:841.9pt;z-index:-251654144;mso-position-horizontal-relative:page;mso-position-vertical-relative:page" fillcolor="#20354A" stroked="f">
          <w10:wrap type="none" anchorx="page" anchory="page"/>
        </v:rect>
      </w:pict>
    </w:r>
    <w:r>
      <w:pict>
        <v:rect id="TitleField" style="position:absolute;margin-left:223pt;margin-top:0pt;width:372.3pt;height:245pt;z-index:-251654144;mso-position-horizontal-relative:page;mso-position-vertical-relative:page" fillcolor="#DCECF8" stroked="f">
          <w10:wrap type="none" anchorx="page" anchory="page"/>
        </v:rect>
      </w:pict>
    </w:r>
    <w:r>
      <w:pict>
        <v:rect id="AccentBand" style="position:absolute;margin-left:215pt;margin-top:0pt;width:8pt;height:841.9pt;z-index:-251654144;mso-position-horizontal-relative:page;mso-position-vertical-relative:page" fillcolor="#19B7C8" stroked="f">
          <w10:wrap type="none" anchorx="page" anchory="page"/>
        </v:rect>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7389823">
    <w:abstractNumId w:val="8"/>
  </w:num>
  <w:num w:numId="2" w16cid:durableId="761293186">
    <w:abstractNumId w:val="6"/>
  </w:num>
  <w:num w:numId="3" w16cid:durableId="1671716418">
    <w:abstractNumId w:val="5"/>
  </w:num>
  <w:num w:numId="4" w16cid:durableId="696656548">
    <w:abstractNumId w:val="4"/>
  </w:num>
  <w:num w:numId="5" w16cid:durableId="1894921588">
    <w:abstractNumId w:val="7"/>
  </w:num>
  <w:num w:numId="6" w16cid:durableId="1650790081">
    <w:abstractNumId w:val="3"/>
  </w:num>
  <w:num w:numId="7" w16cid:durableId="1264151379">
    <w:abstractNumId w:val="2"/>
  </w:num>
  <w:num w:numId="8" w16cid:durableId="1865560840">
    <w:abstractNumId w:val="1"/>
  </w:num>
  <w:num w:numId="9" w16cid:durableId="11982722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CFB"/>
    <w:rsid w:val="00896984"/>
    <w:rsid w:val="008B504E"/>
    <w:rsid w:val="00937869"/>
    <w:rsid w:val="00973AD6"/>
    <w:rsid w:val="00992657"/>
    <w:rsid w:val="009B6C06"/>
    <w:rsid w:val="00A90FD0"/>
    <w:rsid w:val="00AA1D8D"/>
    <w:rsid w:val="00B47730"/>
    <w:rsid w:val="00CB0664"/>
    <w:rsid w:val="00D05E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40A83"/>
  <w14:defaultImageDpi w14:val="300"/>
  <w15:docId w15:val="{786CA5FE-E921-5A41-9848-5534FE94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2" w:lineRule="auto"/>
    </w:pPr>
    <w:rPr>
      <w:rFonts w:ascii="Calibri" w:hAnsi="Calibri"/>
      <w:sz w:val="21"/>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color w:val="000000"/>
    </w:r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www.carrefour.com/sites/default/files/2026-07/Press%20release%20Carrefour%20Q2%20%26%20H1%202026.pdf" TargetMode="External"/><Relationship Id="rId12" Type="http://schemas.openxmlformats.org/officeDocument/2006/relationships/hyperlink" Target="https://hr.magnum.kz/blog/kak-ustroitsya-na-rabotu-v-magnum-poshagovaya-instruktsiya-dlya-kandidatov/" TargetMode="External"/><Relationship Id="rId13" Type="http://schemas.openxmlformats.org/officeDocument/2006/relationships/hyperlink" Target="https://www.carrefour.com/sites/default/files/2023-06/Press%20Release%20-%20Carrefour%20integrates%20OpenAI%20technologies%20and%20launches%20a%20generative%20AI-powered%20shopping%20experience%20%281%29.pdf"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yperlink" Target="https://openstax.org/details/books/introduction-business-2e" TargetMode="External"/><Relationship Id="rId18" Type="http://schemas.openxmlformats.org/officeDocument/2006/relationships/hyperlink" Target="https://doi.org/10.1186/s40991-016-0004-6" TargetMode="External"/><Relationship Id="rId19" Type="http://schemas.openxmlformats.org/officeDocument/2006/relationships/hyperlink" Target="https://hr.magnum.kz/en/about-company/" TargetMode="External"/><Relationship Id="rId20" Type="http://schemas.openxmlformats.org/officeDocument/2006/relationships/hyperlink" Target="https://app.magnum.kz/services/storage/data/public/agreement/xjGKNS387tNYjXC5HR47sm438076058.html" TargetMode="External"/><Relationship Id="rId21" Type="http://schemas.openxmlformats.org/officeDocument/2006/relationships/hyperlink" Target="https://doi.org/10.6028/NIST.AI.100-1" TargetMode="External"/><Relationship Id="rId22" Type="http://schemas.openxmlformats.org/officeDocument/2006/relationships/hyperlink" Target="https://sdgs.un.org/goals/goal12" TargetMode="External"/><Relationship Id="rId23" Type="http://schemas.openxmlformats.org/officeDocument/2006/relationships/hyperlink" Target="https://stat.gov.kz/en/industries/economy/prices/publications/514353/" TargetMode="External"/><Relationship Id="rId24" Type="http://schemas.openxmlformats.org/officeDocument/2006/relationships/hyperlink" Target="https://stat.gov.kz/en/industries/economy/national-accounts/publications/512218/" TargetMode="External"/><Relationship Id="rId25" Type="http://schemas.openxmlformats.org/officeDocument/2006/relationships/hyperlink" Target="https://stat.gov.kz/en/industries/labor-and-income/stat-empt-unempl/publications/511771/" TargetMode="External"/><Relationship Id="rId26" Type="http://schemas.openxmlformats.org/officeDocument/2006/relationships/hyperlink" Target="https://old.adilet.zan.kz/eng/docs/Z1300000094" TargetMode="External"/><Relationship Id="rId27" Type="http://schemas.openxmlformats.org/officeDocument/2006/relationships/hyperlink" Target="https://stat.gov.kz/en/industries/economy/local-market/publications/488906/" TargetMode="External"/><Relationship Id="rId28" Type="http://schemas.openxmlformats.org/officeDocument/2006/relationships/hyperlink" Target="https://small.kz/ru/almaty/tech" TargetMode="External"/><Relationship Id="rId29" Type="http://schemas.openxmlformats.org/officeDocument/2006/relationships/hyperlink" Target="https://stat.gov.kz/en/industries/social-statistics/demography/" TargetMode="External"/><Relationship Id="rId30" Type="http://schemas.openxmlformats.org/officeDocument/2006/relationships/hyperlink" Target="https://stat.gov.kz/en/industries/economy/prices/" TargetMode="External"/><Relationship Id="rId31" Type="http://schemas.openxmlformats.org/officeDocument/2006/relationships/hyperlink" Target="https://old.adilet.zan.kz/eng/docs/Z980000220_" TargetMode="External"/><Relationship Id="rId32" Type="http://schemas.openxmlformats.org/officeDocument/2006/relationships/hyperlink" Target="https://www.carrefour.com/sites/default/files/2026-03/Communique%CC%81%20de%20presse%20-%20Carrefour%20devient%20le%20premier%20retailer%20europe%CC%81en%20a%CC%80%20proposer%20de%20faire%20ses%20courses%20sur%20ChatGPT%20.pdf" TargetMode="External"/><Relationship Id="rId33" Type="http://schemas.openxmlformats.org/officeDocument/2006/relationships/hyperlink" Target="https://www.sas.com/fr_fr/news/press-releases/france/2019/janvier/carrefour-intelligence-artificielle-editeur-sas-optimiser-gestion-supply-chain-reduire-gaspillage-produits-alimentaires.html" TargetMode="External"/><Relationship Id="rId34" Type="http://schemas.openxmlformats.org/officeDocument/2006/relationships/hyperlink" Target="https://www.carrefour.com/sites/default/files/2025-07/Carrefour%20Group%20Suppliers%20Ethic%20Charter%202024.pptx%20%281%29.pdf" TargetMode="External"/><Relationship Id="rId35" Type="http://schemas.openxmlformats.org/officeDocument/2006/relationships/hyperlink" Target="https://magnum-space.magnum.kz/public/corporate/index_ru.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793</Words>
  <Characters>4522</Characters>
  <Application>Microsoft Office Word</Application>
  <DocSecurity>0</DocSecurity>
  <Lines>37</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Record 1 Carrefour and Magnum</dc:title>
  <dc:subject/>
  <dc:creator>Kniazev Daniil</dc:creator>
  <cp:keywords/>
  <dc:description/>
  <cp:lastModifiedBy>Daniil Tate</cp:lastModifiedBy>
  <cp:revision>4</cp:revision>
  <dcterms:created xsi:type="dcterms:W3CDTF">2013-12-23T23:15:00Z</dcterms:created>
  <dcterms:modified xsi:type="dcterms:W3CDTF">2026-09-16T05:18:00Z</dcterms:modified>
  <cp:category/>
</cp:coreProperties>
</file>