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val="0"/>
        <w:keepLines/>
        <w:tabs>
          <w:tab w:pos="9098" w:val="right"/>
          <w:tab w:pos="9101" w:val="right"/>
        </w:tabs>
        <w:spacing w:before="0" w:after="0" w:line="220" w:lineRule="exact"/>
        <w:ind w:left="0"/>
      </w:pPr>
      <w:r>
        <w:rPr>
          <w:rFonts w:ascii="Arial" w:hAnsi="Arial"/>
          <w:b/>
          <w:color w:val="FFFFFF"/>
          <w:sz w:val="17"/>
        </w:rPr>
        <w:t>ASTANA IT UNIVERSITY</w:t>
      </w:r>
      <w:r>
        <w:rPr>
          <w:rFonts w:ascii="Arial" w:hAnsi="Arial"/>
          <w:b/>
          <w:color w:val="20354A"/>
          <w:sz w:val="17"/>
        </w:rPr>
        <w:tab/>
        <w:t>SEPTEMBER 22, 2026</w:t>
      </w:r>
    </w:p>
    <w:p>
      <w:pPr>
        <w:keepNext w:val="0"/>
        <w:keepLines/>
        <w:spacing w:before="1920" w:after="40" w:line="1560" w:lineRule="exact"/>
        <w:ind w:left="3384"/>
      </w:pPr>
      <w:r>
        <w:rPr>
          <w:rFonts w:ascii="Arial" w:hAnsi="Arial"/>
          <w:color w:val="20354A"/>
          <w:sz w:val="112"/>
          <w:position w:val="16"/>
        </w:rPr>
        <w:t>W2</w:t>
      </w:r>
    </w:p>
    <w:p>
      <w:pPr>
        <w:pStyle w:val="aa"/>
        <w:keepNext w:val="0"/>
        <w:keepLines/>
        <w:spacing w:before="360" w:after="240" w:line="900" w:lineRule="exact"/>
        <w:ind w:left="3384"/>
      </w:pPr>
      <w:r>
        <w:rPr>
          <w:rFonts w:ascii="Arial" w:hAnsi="Arial"/>
          <w:color w:val="000000"/>
          <w:sz w:val="80"/>
        </w:rPr>
        <w:t>Weekly</w:t>
        <w:br/>
        <w:t>Record</w:t>
      </w:r>
    </w:p>
    <w:p>
      <w:pPr>
        <w:keepNext w:val="0"/>
        <w:keepLines/>
        <w:spacing w:before="160" w:after="0" w:line="280" w:lineRule="exact"/>
        <w:ind w:left="3384"/>
      </w:pPr>
      <w:r>
        <w:rPr>
          <w:rFonts w:ascii="Arial" w:hAnsi="Arial"/>
          <w:b/>
          <w:color w:val="20354A"/>
          <w:sz w:val="18"/>
        </w:rPr>
        <w:t>BUSINESS ADMINISTRATION</w:t>
        <w:br/>
        <w:t>CARREFOUR AND MAGNUM CASH&amp;CARRY</w:t>
      </w:r>
    </w:p>
    <w:p>
      <w:pPr>
        <w:keepNext w:val="0"/>
        <w:keepLines/>
        <w:spacing w:before="4400" w:after="0" w:line="280" w:lineRule="exact"/>
        <w:ind w:left="0"/>
      </w:pPr>
      <w:r>
        <w:rPr>
          <w:rFonts w:ascii="Arial" w:hAnsi="Arial"/>
          <w:b/>
          <w:color w:val="9FDCE4"/>
          <w:sz w:val="16"/>
        </w:rPr>
        <w:t>PREPARED BY</w:t>
        <w:br/>
      </w:r>
      <w:r>
        <w:rPr>
          <w:rFonts w:ascii="Arial" w:hAnsi="Arial"/>
          <w:b/>
          <w:color w:val="FFFFFF"/>
          <w:sz w:val="20"/>
        </w:rPr>
        <w:t>KNIAZEV DANIIL</w:t>
        <w:br/>
      </w:r>
      <w:r>
        <w:rPr>
          <w:rFonts w:ascii="Arial" w:hAnsi="Arial"/>
          <w:color w:val="FFFFFF"/>
          <w:sz w:val="17"/>
        </w:rPr>
        <w:t>262697@astanait.edu.kz</w:t>
      </w:r>
    </w:p>
    <w:p>
      <w:pPr>
        <w:keepNext w:val="0"/>
        <w:keepLines/>
        <w:spacing w:before="0" w:after="0" w:line="20" w:lineRule="exact"/>
        <w:ind w:left="0"/>
        <w:sectPr w:rsidR="00973AD6" w:rsidSect="00034616">
          <w:pgSz w:w="11906" w:h="16838"/>
          <w:pgMar w:top="1512" w:right="1404" w:bottom="720" w:left="1404" w:header="720" w:footer="720" w:gutter="0"/>
          <w:cols w:space="720"/>
          <w:docGrid w:linePitch="360"/>
          <w:headerReference w:type="default" r:id="rId14"/>
          <w:footerReference w:type="default" r:id="rId16"/>
          <w:type w:val="nextPage"/>
        </w:sectPr>
      </w:pPr>
      <w:r>
        <w:rPr>
          <w:rFonts w:ascii="Arial" w:hAnsi="Arial"/>
          <w:b w:val="0"/>
          <w:color w:val="FFFFFF"/>
          <w:sz w:val="2"/>
        </w:rPr>
      </w:r>
    </w:p>
    <w:p>
      <w:pPr>
        <w:pStyle w:val="aa"/>
        <w:widowControl/>
        <w:spacing w:after="100"/>
      </w:pPr>
      <w:r>
        <w:rPr>
          <w:color w:val="000000"/>
          <w:sz w:val="44"/>
        </w:rPr>
        <w:t>Ethics and stakeholders</w:t>
      </w:r>
    </w:p>
    <w:p>
      <w:pPr>
        <w:widowControl/>
        <w:spacing w:after="100"/>
      </w:pPr>
      <w:r>
        <w:t>Weekly Record 2   •   Carrefour and Magnum Cash&amp;Carry</w:t>
      </w:r>
    </w:p>
    <w:p>
      <w:pPr>
        <w:pStyle w:val="1"/>
        <w:spacing w:before="160" w:after="80"/>
      </w:pPr>
      <w:r>
        <w:rPr>
          <w:color w:val="000000"/>
        </w:rPr>
        <w:t>1  Concept</w:t>
      </w:r>
    </w:p>
    <w:p>
      <w:pPr>
        <w:widowControl/>
        <w:spacing w:after="100"/>
      </w:pPr>
      <w:r>
        <w:t>Ethics concerns right and wrong. Utilitarianism weighs overall consequences, while duties and rights protect people whose interests might otherwise be overlooked. Managers influence behaviour through their example, training and reporting arrangements [1].</w:t>
      </w:r>
    </w:p>
    <w:p>
      <w:pPr>
        <w:widowControl/>
        <w:spacing w:after="100"/>
      </w:pPr>
      <w:r>
        <w:t>CSR includes economic, legal, ethical and philanthropic responsibilities. These operate together [13]. Concept Check, section 2.3: give an example of legal but irresponsible behaviour [1]. A lawful promotion could encourage customers to buy food they cannot use. Donations would not remove that problem.</w:t>
      </w:r>
    </w:p>
    <w:p>
      <w:pPr>
        <w:widowControl/>
        <w:spacing w:after="100"/>
      </w:pPr>
      <w:r>
        <w:t>Comparative advantage means specialising where opportunity cost is lower. Imports come from abroad; exports go abroad. Trade balance is exports minus imports. Currency depreciation, transport costs and trade barriers can make foreign purchases more expensive [1].</w:t>
      </w:r>
    </w:p>
    <w:p>
      <w:pPr>
        <w:pStyle w:val="1"/>
        <w:spacing w:before="160" w:after="80"/>
      </w:pPr>
      <w:r>
        <w:rPr>
          <w:color w:val="000000"/>
        </w:rPr>
        <w:t>2  Application</w:t>
      </w:r>
    </w:p>
    <w:p>
      <w:pPr>
        <w:widowControl/>
        <w:spacing w:after="100"/>
      </w:pPr>
      <w:r>
        <w:t>Company B is Magnum Cash&amp;Carry; Company A is Carrefour. Magnum’s history records entry into Uzbekistan in 2021 [14]. This establishes regional experience, not export volumes.</w:t>
      </w:r>
    </w:p>
    <w:p>
      <w:pPr>
        <w:widowControl/>
        <w:spacing w:after="100"/>
      </w:pPr>
      <w:r>
        <w:t>The proposed use is catalogue search. Magnum Club’s policy lists purchase histories and location data [15], creating a tension between useful recommendations and privacy. My priorities are customers, who bear direct harm; regulators, who influence permitted processing; and employees, who correct mistakes. Suppliers need fair visibility. Owners need a viable trial, while communities bear waste consequences.</w:t>
      </w:r>
    </w:p>
    <w:p>
      <w:pPr>
        <w:pStyle w:val="21"/>
        <w:keepNext/>
        <w:widowControl/>
        <w:spacing w:after="100"/>
      </w:pPr>
      <w:r>
        <w:t>Table 2  Stakeholder and AI ethics map</w:t>
      </w:r>
    </w:p>
    <w:tbl>
      <w:tblPr>
        <w:tblW w:w="10035"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62"/>
        <w:gridCol w:w="1644"/>
        <w:gridCol w:w="1389"/>
        <w:gridCol w:w="2013"/>
        <w:gridCol w:w="2183"/>
        <w:gridCol w:w="1644"/>
      </w:tblGrid>
      <w:tr>
        <w:trPr>
          <w:cantSplit/>
          <w:tblHeader/>
        </w:trPr>
        <w:tc>
          <w:tcPr>
            <w:tcW w:type="dxa" w:w="1162"/>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Stakeholder</w:t>
            </w:r>
          </w:p>
        </w:tc>
        <w:tc>
          <w:tcPr>
            <w:tcW w:type="dxa" w:w="1644"/>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Wants and risks</w:t>
            </w:r>
          </w:p>
        </w:tc>
        <w:tc>
          <w:tcPr>
            <w:tcW w:type="dxa" w:w="1389"/>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AI issue</w:t>
            </w:r>
          </w:p>
        </w:tc>
        <w:tc>
          <w:tcPr>
            <w:tcW w:type="dxa" w:w="2013"/>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Magnum obligation</w:t>
            </w:r>
          </w:p>
        </w:tc>
        <w:tc>
          <w:tcPr>
            <w:tcW w:type="dxa" w:w="2183"/>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Carrefour evidence</w:t>
            </w:r>
          </w:p>
        </w:tc>
        <w:tc>
          <w:tcPr>
            <w:tcW w:type="dxa" w:w="1644"/>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Transfer verdict</w:t>
            </w:r>
          </w:p>
        </w:tc>
      </w:tr>
      <w:tr>
        <w:trPr>
          <w:cantSplit/>
        </w:trPr>
        <w:tc>
          <w:tcPr>
            <w:tcW w:type="dxa" w:w="1162"/>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Customers</w:t>
            </w:r>
          </w:p>
        </w:tc>
        <w:tc>
          <w:tcPr>
            <w:tcW w:type="dxa" w:w="1644"/>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Affordable, accurate choices; unsuitable suggestions.</w:t>
            </w:r>
          </w:p>
        </w:tc>
        <w:tc>
          <w:tcPr>
            <w:tcW w:type="dxa" w:w="1389"/>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Wrong products or language bias.</w:t>
            </w:r>
          </w:p>
        </w:tc>
        <w:tc>
          <w:tcPr>
            <w:tcW w:type="dxa" w:w="2013"/>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Check stock and labels; test both languages; retain staff help.</w:t>
            </w:r>
          </w:p>
        </w:tc>
        <w:tc>
          <w:tcPr>
            <w:tcW w:type="dxa" w:w="2183"/>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Hopla links budget questions to product search [12].</w:t>
            </w:r>
          </w:p>
        </w:tc>
        <w:tc>
          <w:tcPr>
            <w:tcW w:type="dxa" w:w="1644"/>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PILOT: compare successful searches.</w:t>
            </w:r>
          </w:p>
        </w:tc>
      </w:tr>
      <w:tr>
        <w:trPr>
          <w:cantSplit/>
        </w:trPr>
        <w:tc>
          <w:tcPr>
            <w:tcW w:type="dxa" w:w="1162"/>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Employees</w:t>
            </w:r>
          </w:p>
        </w:tc>
        <w:tc>
          <w:tcPr>
            <w:tcW w:type="dxa" w:w="1644"/>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Manageable work; extra corrections.</w:t>
            </w:r>
          </w:p>
        </w:tc>
        <w:tc>
          <w:tcPr>
            <w:tcW w:type="dxa" w:w="1389"/>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Fluent answers can hide errors.</w:t>
            </w:r>
          </w:p>
        </w:tc>
        <w:tc>
          <w:tcPr>
            <w:tcW w:type="dxa" w:w="2013"/>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Train staff, log corrections and assign a service manager.</w:t>
            </w:r>
          </w:p>
        </w:tc>
        <w:tc>
          <w:tcPr>
            <w:tcW w:type="dxa" w:w="2183"/>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AI supports product descriptions; staff workload is unreported [12].</w:t>
            </w:r>
          </w:p>
        </w:tc>
        <w:tc>
          <w:tcPr>
            <w:tcW w:type="dxa" w:w="1644"/>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ADAPT: keep staff review.</w:t>
            </w:r>
          </w:p>
        </w:tc>
      </w:tr>
      <w:tr>
        <w:trPr>
          <w:cantSplit/>
        </w:trPr>
        <w:tc>
          <w:tcPr>
            <w:tcW w:type="dxa" w:w="1162"/>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Suppliers</w:t>
            </w:r>
          </w:p>
        </w:tc>
        <w:tc>
          <w:tcPr>
            <w:tcW w:type="dxa" w:w="1644"/>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Fair visibility; inaccurate product claims.</w:t>
            </w:r>
          </w:p>
        </w:tc>
        <w:tc>
          <w:tcPr>
            <w:tcW w:type="dxa" w:w="1389"/>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Generated descriptions may misrepresent goods.</w:t>
            </w:r>
          </w:p>
        </w:tc>
        <w:tc>
          <w:tcPr>
            <w:tcW w:type="dxa" w:w="2013"/>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Check descriptions with suppliers and allow corrections.</w:t>
            </w:r>
          </w:p>
        </w:tc>
        <w:tc>
          <w:tcPr>
            <w:tcW w:type="dxa" w:w="2183"/>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Carrefour generated descriptions for its own brands [12].</w:t>
            </w:r>
          </w:p>
        </w:tc>
        <w:tc>
          <w:tcPr>
            <w:tcW w:type="dxa" w:w="1644"/>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PILOT: verify supplier product facts.</w:t>
            </w:r>
          </w:p>
        </w:tc>
      </w:tr>
      <w:tr>
        <w:trPr>
          <w:cantSplit/>
        </w:trPr>
        <w:tc>
          <w:tcPr>
            <w:tcW w:type="dxa" w:w="1162"/>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Regulators</w:t>
            </w:r>
          </w:p>
        </w:tc>
        <w:tc>
          <w:tcPr>
            <w:tcW w:type="dxa" w:w="1644"/>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Accountability; privacy violations.</w:t>
            </w:r>
          </w:p>
        </w:tc>
        <w:tc>
          <w:tcPr>
            <w:tcW w:type="dxa" w:w="1389"/>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Customer data may reach external providers.</w:t>
            </w:r>
          </w:p>
        </w:tc>
        <w:tc>
          <w:tcPr>
            <w:tcW w:type="dxa" w:w="2013"/>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Review data flows, restrict access and retain records.</w:t>
            </w:r>
          </w:p>
        </w:tc>
        <w:tc>
          <w:tcPr>
            <w:tcW w:type="dxa" w:w="2183"/>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Carrefour describes Azure privacy features, not an independent audit [12].</w:t>
            </w:r>
          </w:p>
        </w:tc>
        <w:tc>
          <w:tcPr>
            <w:tcW w:type="dxa" w:w="1644"/>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ADAPT: assess Kazakhstan requirements.</w:t>
            </w:r>
          </w:p>
        </w:tc>
      </w:tr>
    </w:tbl>
    <w:p>
      <w:pPr>
        <w:widowControl/>
        <w:spacing w:after="100" w:before="80"/>
      </w:pPr>
      <w:r>
        <w:rPr>
          <w:sz w:val="18"/>
        </w:rPr>
        <w:t>Source: Carrefour’s launch announcement [12]. The Magnum controls and transfer decisions are proposals.</w:t>
      </w:r>
    </w:p>
    <w:p>
      <w:r/>
    </w:p>
    <w:p>
      <w:pPr>
        <w:pStyle w:val="1"/>
        <w:spacing w:before="160" w:after="80"/>
      </w:pPr>
      <w:r>
        <w:rPr>
          <w:color w:val="000000"/>
        </w:rPr>
        <w:t>3  Verification and AI record</w:t>
      </w:r>
    </w:p>
    <w:p>
      <w:pPr>
        <w:widowControl/>
        <w:spacing w:after="100"/>
      </w:pPr>
      <w:r>
        <w:t>Checks with Codex on 20 September 2026 matched the Uzbekistan entry year to Magnum’s history [14], data categories to policy section 4.3 [15], and Hopla’s launch to Carrefour’s release of 8 June 2023 [12]. The release gives no measured error rate or staff savings. I therefore removed implied proof of effective oversight. NIST supports named responsibilities and training [16]; it does not certify Magnum.</w:t>
      </w:r>
    </w:p>
    <w:p>
      <w:pPr>
        <w:widowControl/>
        <w:spacing w:after="100"/>
      </w:pPr>
      <w:r>
        <w:t>The evidence refines my initial view: faster service matters only if shoppers can rely on it. Codex helped analyse the textbook and slides, check sources, draft the stakeholder analysis and edit this record. The checks distinguish company announcements from measured performance.</w:t>
      </w:r>
    </w:p>
    <w:p>
      <w:pPr>
        <w:pStyle w:val="1"/>
        <w:spacing w:before="160" w:after="80"/>
      </w:pPr>
      <w:r>
        <w:rPr>
          <w:color w:val="000000"/>
        </w:rPr>
        <w:t>4  Transfer</w:t>
      </w:r>
    </w:p>
    <w:p>
      <w:pPr>
        <w:widowControl/>
        <w:spacing w:after="100"/>
      </w:pPr>
      <w:r>
        <w:t>PILOT catalogue search after privacy review. The digital team should test Kazakh and Russian questions against available products, comparing errors and staff correction time with ordinary search. A service manager should resolve complaints and pause the trial after harmful recommendations. DELAY purchase-history personalisation until its purpose and benefit are demonstrated.</w:t>
      </w:r>
    </w:p>
    <w:p>
      <w:pPr>
        <w:widowControl/>
        <w:spacing w:after="100"/>
      </w:pPr>
      <w:r>
        <w:t>Carrefour also proposes recipes using leftover ingredients [12]. Magnum could adapt this idea to products approaching expiry, with stock and safety checks. Store managers should compare discarded food per unit sold before and during the trial, linking it to SDG 12.3 [17]. This is a proposed measure, not a reported result.</w:t>
      </w:r>
    </w:p>
    <w:p>
      <w:pPr>
        <w:pStyle w:val="1"/>
        <w:spacing w:before="160" w:after="80"/>
      </w:pPr>
      <w:r>
        <w:rPr>
          <w:color w:val="000000"/>
        </w:rPr>
        <w:t>5  Evidence</w:t>
      </w:r>
    </w:p>
    <w:p>
      <w:pPr>
        <w:widowControl/>
        <w:spacing w:after="100"/>
      </w:pPr>
      <w:r>
        <w:t>Carroll [13], NIST [16] and UN Goal 12 [17] extend the Evidence Folder. Company sources are reused. Course material: Chapter 2 and 3 slides and BA Week 2 Practice 2, slides 7–16.</w:t>
      </w:r>
    </w:p>
    <w:p>
      <w:pPr>
        <w:pStyle w:val="1"/>
        <w:spacing w:before="160" w:after="80"/>
      </w:pPr>
      <w:r>
        <w:rPr>
          <w:color w:val="000000"/>
        </w:rPr>
        <w:t>6  Capstone link</w:t>
      </w:r>
    </w:p>
    <w:p>
      <w:pPr>
        <w:widowControl/>
        <w:spacing w:after="100"/>
      </w:pPr>
      <w:r>
        <w:t>This record develops Capstone section 2, Environmental and stakeholder analysis, and supports Business Report section 2.</w:t>
      </w:r>
    </w:p>
    <w:p>
      <w:pPr>
        <w:pStyle w:val="1"/>
        <w:spacing w:before="160" w:after="80"/>
      </w:pPr>
      <w:r>
        <w:rPr>
          <w:color w:val="000000"/>
        </w:rPr>
        <w:t>References</w:t>
      </w:r>
    </w:p>
    <w:p>
      <w:pPr>
        <w:spacing w:after="80" w:line="252" w:lineRule="auto"/>
        <w:ind w:left="369" w:hanging="369"/>
      </w:pPr>
      <w:r>
        <w:rPr>
          <w:sz w:val="19"/>
        </w:rPr>
        <w:t xml:space="preserve">[1] L. J. Gitman et al., </w:t>
      </w:r>
      <w:hyperlink r:id="rId17">
        <w:r>
          <w:rPr>
            <w:color w:val="173B4C"/>
            <w:sz w:val="19"/>
          </w:rPr>
          <w:t>“Introduction to Business,”</w:t>
        </w:r>
      </w:hyperlink>
      <w:r>
        <w:rPr>
          <w:sz w:val="19"/>
        </w:rPr>
        <w:t xml:space="preserve"> 2nd ed., OpenStax, 2026.</w:t>
      </w:r>
    </w:p>
    <w:p>
      <w:pPr>
        <w:spacing w:after="80" w:line="252" w:lineRule="auto"/>
        <w:ind w:left="369" w:hanging="369"/>
      </w:pPr>
      <w:r>
        <w:rPr>
          <w:sz w:val="19"/>
        </w:rPr>
        <w:t xml:space="preserve">[12] Carrefour, </w:t>
      </w:r>
      <w:hyperlink r:id="rId13">
        <w:r>
          <w:rPr>
            <w:color w:val="173B4C"/>
            <w:sz w:val="19"/>
          </w:rPr>
          <w:t>“Carrefour integrates OpenAI technologies and launches a generative AI powered shopping experience,”</w:t>
        </w:r>
      </w:hyperlink>
      <w:r>
        <w:rPr>
          <w:sz w:val="19"/>
        </w:rPr>
        <w:t xml:space="preserve"> Jun. 8, 2023.</w:t>
      </w:r>
    </w:p>
    <w:p>
      <w:pPr>
        <w:spacing w:after="80" w:line="252" w:lineRule="auto"/>
        <w:ind w:left="369" w:hanging="369"/>
      </w:pPr>
      <w:r>
        <w:rPr>
          <w:sz w:val="19"/>
        </w:rPr>
        <w:t xml:space="preserve">[13] A. B. Carroll, </w:t>
      </w:r>
      <w:hyperlink r:id="rId18">
        <w:r>
          <w:rPr>
            <w:color w:val="173B4C"/>
            <w:sz w:val="19"/>
          </w:rPr>
          <w:t>“Carroll’s pyramid of CSR: taking another look,”</w:t>
        </w:r>
      </w:hyperlink>
      <w:r>
        <w:rPr>
          <w:sz w:val="19"/>
        </w:rPr>
        <w:t xml:space="preserve"> Int. J. Corporate Social Responsibility, vol. 1, art. 3, 2016.</w:t>
      </w:r>
    </w:p>
    <w:p>
      <w:pPr>
        <w:spacing w:after="80" w:line="252" w:lineRule="auto"/>
        <w:ind w:left="369" w:hanging="369"/>
      </w:pPr>
      <w:r>
        <w:rPr>
          <w:sz w:val="19"/>
        </w:rPr>
        <w:t xml:space="preserve">[14] Magnum Cash&amp;Carry, </w:t>
      </w:r>
      <w:hyperlink r:id="rId19">
        <w:r>
          <w:rPr>
            <w:color w:val="173B4C"/>
            <w:sz w:val="19"/>
          </w:rPr>
          <w:t>“About us,”</w:t>
        </w:r>
      </w:hyperlink>
      <w:r>
        <w:rPr>
          <w:sz w:val="19"/>
        </w:rPr>
        <w:t xml:space="preserve"> n.d.</w:t>
      </w:r>
    </w:p>
    <w:p>
      <w:pPr>
        <w:spacing w:after="80" w:line="252" w:lineRule="auto"/>
        <w:ind w:left="369" w:hanging="369"/>
      </w:pPr>
      <w:r>
        <w:rPr>
          <w:sz w:val="19"/>
        </w:rPr>
        <w:t xml:space="preserve">[15] Magnum Cash&amp;Carry, </w:t>
      </w:r>
      <w:hyperlink r:id="rId20">
        <w:r>
          <w:rPr>
            <w:color w:val="173B4C"/>
            <w:sz w:val="19"/>
          </w:rPr>
          <w:t>“Magnum Club personal data privacy policy,”</w:t>
        </w:r>
      </w:hyperlink>
      <w:r>
        <w:rPr>
          <w:sz w:val="19"/>
        </w:rPr>
        <w:t xml:space="preserve"> n.d.</w:t>
      </w:r>
    </w:p>
    <w:p>
      <w:pPr>
        <w:spacing w:after="80" w:line="252" w:lineRule="auto"/>
        <w:ind w:left="369" w:hanging="369"/>
      </w:pPr>
      <w:r>
        <w:rPr>
          <w:sz w:val="19"/>
        </w:rPr>
        <w:t xml:space="preserve">[16] NIST, </w:t>
      </w:r>
      <w:hyperlink r:id="rId21">
        <w:r>
          <w:rPr>
            <w:color w:val="173B4C"/>
            <w:sz w:val="19"/>
          </w:rPr>
          <w:t>“Artificial Intelligence Risk Management Framework AI RMF 1.0,”</w:t>
        </w:r>
      </w:hyperlink>
      <w:r>
        <w:rPr>
          <w:sz w:val="19"/>
        </w:rPr>
        <w:t xml:space="preserve"> NIST AI 100-1, Jan. 2023, GOVERN 2.1–2.3.</w:t>
      </w:r>
    </w:p>
    <w:p>
      <w:pPr>
        <w:spacing w:after="80" w:line="252" w:lineRule="auto"/>
        <w:ind w:left="369" w:hanging="369"/>
      </w:pPr>
      <w:r>
        <w:rPr>
          <w:sz w:val="19"/>
        </w:rPr>
        <w:t xml:space="preserve">[17] United Nations, </w:t>
      </w:r>
      <w:hyperlink r:id="rId22">
        <w:r>
          <w:rPr>
            <w:color w:val="173B4C"/>
            <w:sz w:val="19"/>
          </w:rPr>
          <w:t>“Goal 12,”</w:t>
        </w:r>
      </w:hyperlink>
      <w:r>
        <w:rPr>
          <w:sz w:val="19"/>
        </w:rPr>
        <w:t xml:space="preserve"> n.d., target 12.3.</w:t>
      </w:r>
    </w:p>
    <w:sectPr w:rsidR="00973AD6" w:rsidSect="00034616">
      <w:footerReference w:type="default" r:id="rId8"/>
      <w:headerReference w:type="default" r:id="rId15"/>
      <w:pgSz w:w="11906" w:h="16838"/>
      <w:pgMar w:top="879" w:right="935" w:bottom="879" w:left="935"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7D0243" w14:textId="77777777" w:rsidR="00A90FD0" w:rsidRDefault="00A90FD0">
      <w:pPr>
        <w:spacing w:after="0" w:line="240" w:lineRule="auto"/>
      </w:pPr>
      <w:r>
        <w:separator/>
      </w:r>
    </w:p>
  </w:endnote>
  <w:endnote w:type="continuationSeparator" w:id="0">
    <w:p w14:paraId="6927AD82" w14:textId="77777777" w:rsidR="00A90FD0" w:rsidRDefault="00A90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1029A" w14:textId="62877111" w:rsidR="00973AD6" w:rsidRDefault="00000000">
    <w:pPr>
      <w:pStyle w:val="a7"/>
      <w:jc w:val="right"/>
    </w:pPr>
    <w:r>
      <w:rPr>
        <w:sz w:val="16"/>
      </w:rPr>
      <w:t xml:space="preserve"> </w:t>
    </w:r>
    <w:r>
      <w:fldChar w:fldCharType="begin"/>
    </w:r>
    <w:r>
      <w:instrText>PAGE</w:instrText>
    </w:r>
    <w:r>
      <w:fldChar w:fldCharType="separate"/>
    </w:r>
    <w:r w:rsidR="009B6C06">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E2E022" w14:textId="77777777" w:rsidR="00A90FD0" w:rsidRDefault="00A90FD0">
      <w:pPr>
        <w:spacing w:after="0" w:line="240" w:lineRule="auto"/>
      </w:pPr>
      <w:r>
        <w:separator/>
      </w:r>
    </w:p>
  </w:footnote>
  <w:footnote w:type="continuationSeparator" w:id="0">
    <w:p w14:paraId="64E3F27E" w14:textId="77777777" w:rsidR="00A90FD0" w:rsidRDefault="00A90FD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se" style="position:absolute;margin-left:0pt;margin-top:0pt;width:595.3pt;height:841.9pt;z-index:-251654144;mso-position-horizontal-relative:page;mso-position-vertical-relative:page" fillcolor="#F7F9FB" stroked="f">
          <w10:wrap type="none" anchorx="page" anchory="page"/>
        </v:rect>
      </w:pict>
    </w:r>
    <w:r>
      <w:pict>
        <v:rect id="SidePanel" style="position:absolute;margin-left:0pt;margin-top:0pt;width:215pt;height:841.9pt;z-index:-251654144;mso-position-horizontal-relative:page;mso-position-vertical-relative:page" fillcolor="#20354A" stroked="f">
          <w10:wrap type="none" anchorx="page" anchory="page"/>
        </v:rect>
      </w:pict>
    </w:r>
    <w:r>
      <w:pict>
        <v:rect id="TitleField" style="position:absolute;margin-left:223pt;margin-top:0pt;width:372.3pt;height:245pt;z-index:-251654144;mso-position-horizontal-relative:page;mso-position-vertical-relative:page" fillcolor="#DCECF8" stroked="f">
          <w10:wrap type="none" anchorx="page" anchory="page"/>
        </v:rect>
      </w:pict>
    </w:r>
    <w:r>
      <w:pict>
        <v:rect id="AccentBand" style="position:absolute;margin-left:215pt;margin-top:0pt;width:8pt;height:841.9pt;z-index:-251654144;mso-position-horizontal-relative:page;mso-position-vertical-relative:page" fillcolor="#19B7C8" stroked="f">
          <w10:wrap type="none" anchorx="page" anchory="page"/>
        </v:rect>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7389823">
    <w:abstractNumId w:val="8"/>
  </w:num>
  <w:num w:numId="2" w16cid:durableId="761293186">
    <w:abstractNumId w:val="6"/>
  </w:num>
  <w:num w:numId="3" w16cid:durableId="1671716418">
    <w:abstractNumId w:val="5"/>
  </w:num>
  <w:num w:numId="4" w16cid:durableId="696656548">
    <w:abstractNumId w:val="4"/>
  </w:num>
  <w:num w:numId="5" w16cid:durableId="1894921588">
    <w:abstractNumId w:val="7"/>
  </w:num>
  <w:num w:numId="6" w16cid:durableId="1650790081">
    <w:abstractNumId w:val="3"/>
  </w:num>
  <w:num w:numId="7" w16cid:durableId="1264151379">
    <w:abstractNumId w:val="2"/>
  </w:num>
  <w:num w:numId="8" w16cid:durableId="1865560840">
    <w:abstractNumId w:val="1"/>
  </w:num>
  <w:num w:numId="9" w16cid:durableId="11982722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CFB"/>
    <w:rsid w:val="00896984"/>
    <w:rsid w:val="008B504E"/>
    <w:rsid w:val="00937869"/>
    <w:rsid w:val="00973AD6"/>
    <w:rsid w:val="00992657"/>
    <w:rsid w:val="009B6C06"/>
    <w:rsid w:val="00A90FD0"/>
    <w:rsid w:val="00AA1D8D"/>
    <w:rsid w:val="00B47730"/>
    <w:rsid w:val="00CB0664"/>
    <w:rsid w:val="00D05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40A83"/>
  <w14:defaultImageDpi w14:val="300"/>
  <w15:docId w15:val="{786CA5FE-E921-5A41-9848-5534FE94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Calibri" w:hAnsi="Calibri"/>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color w:val="000000"/>
    </w:r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www.carrefour.com/sites/default/files/2026-07/Press%20release%20Carrefour%20Q2%20%26%20H1%202026.pdf" TargetMode="External"/><Relationship Id="rId12" Type="http://schemas.openxmlformats.org/officeDocument/2006/relationships/hyperlink" Target="https://hr.magnum.kz/blog/kak-ustroitsya-na-rabotu-v-magnum-poshagovaya-instruktsiya-dlya-kandidatov/" TargetMode="External"/><Relationship Id="rId13" Type="http://schemas.openxmlformats.org/officeDocument/2006/relationships/hyperlink" Target="https://www.carrefour.com/sites/default/files/2023-06/Press%20Release%20-%20Carrefour%20integrates%20OpenAI%20technologies%20and%20launches%20a%20generative%20AI-powered%20shopping%20experience%20%281%29.pdf"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yperlink" Target="https://openstax.org/details/books/introduction-business-2e" TargetMode="External"/><Relationship Id="rId18" Type="http://schemas.openxmlformats.org/officeDocument/2006/relationships/hyperlink" Target="https://doi.org/10.1186/s40991-016-0004-6" TargetMode="External"/><Relationship Id="rId19" Type="http://schemas.openxmlformats.org/officeDocument/2006/relationships/hyperlink" Target="https://hr.magnum.kz/en/about-company/" TargetMode="External"/><Relationship Id="rId20" Type="http://schemas.openxmlformats.org/officeDocument/2006/relationships/hyperlink" Target="https://app.magnum.kz/services/storage/data/public/agreement/xjGKNS387tNYjXC5HR47sm438076058.html" TargetMode="External"/><Relationship Id="rId21" Type="http://schemas.openxmlformats.org/officeDocument/2006/relationships/hyperlink" Target="https://doi.org/10.6028/NIST.AI.100-1" TargetMode="External"/><Relationship Id="rId22" Type="http://schemas.openxmlformats.org/officeDocument/2006/relationships/hyperlink" Target="https://sdgs.un.org/goals/goal12" TargetMode="External"/><Relationship Id="rId23" Type="http://schemas.openxmlformats.org/officeDocument/2006/relationships/hyperlink" Target="https://stat.gov.kz/en/industries/economy/prices/publications/514353/" TargetMode="External"/><Relationship Id="rId24" Type="http://schemas.openxmlformats.org/officeDocument/2006/relationships/hyperlink" Target="https://stat.gov.kz/en/industries/economy/national-accounts/publications/512218/" TargetMode="External"/><Relationship Id="rId25" Type="http://schemas.openxmlformats.org/officeDocument/2006/relationships/hyperlink" Target="https://stat.gov.kz/en/industries/labor-and-income/stat-empt-unempl/publications/511771/" TargetMode="External"/><Relationship Id="rId26" Type="http://schemas.openxmlformats.org/officeDocument/2006/relationships/hyperlink" Target="https://old.adilet.zan.kz/eng/docs/Z1300000094" TargetMode="External"/><Relationship Id="rId27" Type="http://schemas.openxmlformats.org/officeDocument/2006/relationships/hyperlink" Target="https://stat.gov.kz/en/industries/economy/local-market/publications/488906/" TargetMode="External"/><Relationship Id="rId28" Type="http://schemas.openxmlformats.org/officeDocument/2006/relationships/hyperlink" Target="https://small.kz/ru/almaty/tech" TargetMode="External"/><Relationship Id="rId29" Type="http://schemas.openxmlformats.org/officeDocument/2006/relationships/hyperlink" Target="https://stat.gov.kz/en/industries/social-statistics/demography/" TargetMode="External"/><Relationship Id="rId30" Type="http://schemas.openxmlformats.org/officeDocument/2006/relationships/hyperlink" Target="https://stat.gov.kz/en/industries/economy/prices/" TargetMode="External"/><Relationship Id="rId31" Type="http://schemas.openxmlformats.org/officeDocument/2006/relationships/hyperlink" Target="https://old.adilet.zan.kz/eng/docs/Z980000220_" TargetMode="External"/><Relationship Id="rId32" Type="http://schemas.openxmlformats.org/officeDocument/2006/relationships/hyperlink" Target="https://www.carrefour.com/sites/default/files/2026-03/Communique%CC%81%20de%20presse%20-%20Carrefour%20devient%20le%20premier%20retailer%20europe%CC%81en%20a%CC%80%20proposer%20de%20faire%20ses%20courses%20sur%20ChatGPT%20.pdf" TargetMode="External"/><Relationship Id="rId33" Type="http://schemas.openxmlformats.org/officeDocument/2006/relationships/hyperlink" Target="https://www.sas.com/fr_fr/news/press-releases/france/2019/janvier/carrefour-intelligence-artificielle-editeur-sas-optimiser-gestion-supply-chain-reduire-gaspillage-produits-alimentaires.html" TargetMode="External"/><Relationship Id="rId34" Type="http://schemas.openxmlformats.org/officeDocument/2006/relationships/hyperlink" Target="https://www.carrefour.com/sites/default/files/2025-07/Carrefour%20Group%20Suppliers%20Ethic%20Charter%202024.pptx%20%281%29.pdf" TargetMode="External"/><Relationship Id="rId35" Type="http://schemas.openxmlformats.org/officeDocument/2006/relationships/hyperlink" Target="https://magnum-space.magnum.kz/public/corporate/index_r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793</Words>
  <Characters>4522</Characters>
  <Application>Microsoft Office Word</Application>
  <DocSecurity>0</DocSecurity>
  <Lines>37</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Record 2 Carrefour and Magnum</dc:title>
  <dc:subject/>
  <dc:creator>Kniazev Daniil</dc:creator>
  <cp:keywords/>
  <dc:description/>
  <cp:lastModifiedBy>Daniil Tate</cp:lastModifiedBy>
  <cp:revision>4</cp:revision>
  <dcterms:created xsi:type="dcterms:W3CDTF">2013-12-23T23:15:00Z</dcterms:created>
  <dcterms:modified xsi:type="dcterms:W3CDTF">2026-09-16T05:18:00Z</dcterms:modified>
  <cp:category/>
</cp:coreProperties>
</file>