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5E083" w14:textId="77777777" w:rsidR="00CC2421" w:rsidRDefault="00000000">
      <w:pPr>
        <w:pStyle w:val="aa"/>
        <w:spacing w:before="120"/>
      </w:pPr>
      <w:r>
        <w:rPr>
          <w:szCs w:val="24"/>
        </w:rPr>
        <w:t>Weekly Record 4</w:t>
      </w:r>
    </w:p>
    <w:p w14:paraId="75D2DC40" w14:textId="77777777" w:rsidR="00CC2421" w:rsidRDefault="00000000">
      <w:r>
        <w:rPr>
          <w:szCs w:val="24"/>
        </w:rPr>
        <w:t>Kniazev Daniil | AIB-2602 | 30 September 2026</w:t>
      </w:r>
    </w:p>
    <w:p w14:paraId="35587B36" w14:textId="77777777" w:rsidR="00CC2421" w:rsidRDefault="00000000">
      <w:r>
        <w:rPr>
          <w:szCs w:val="24"/>
        </w:rPr>
        <w:t>Management, responsibility and human–AI task allocation</w:t>
      </w:r>
      <w:r>
        <w:rPr>
          <w:szCs w:val="24"/>
        </w:rPr>
        <w:br/>
        <w:t>Carrefour and Magnum Cash&amp;Carry</w:t>
      </w:r>
    </w:p>
    <w:p w14:paraId="1E7B991E" w14:textId="77777777" w:rsidR="00CC2421" w:rsidRDefault="00000000">
      <w:pPr>
        <w:pStyle w:val="1"/>
        <w:spacing w:before="120"/>
      </w:pPr>
      <w:r>
        <w:rPr>
          <w:szCs w:val="24"/>
        </w:rPr>
        <w:t>1  Concept</w:t>
      </w:r>
    </w:p>
    <w:p w14:paraId="06ADC6DA" w14:textId="77777777" w:rsidR="00CC2421" w:rsidRDefault="00000000">
      <w:r>
        <w:rPr>
          <w:szCs w:val="24"/>
        </w:rPr>
        <w:t>Management connects planning, organising, leading and controlling. Setting a target is only the first step: managers must provide resources, explain responsibilities and respond when results fall short. Chapter 7 distinguishes authority from responsibility and explains how reporting relationships support coordination [1].</w:t>
      </w:r>
    </w:p>
    <w:p w14:paraId="53B26074" w14:textId="77777777" w:rsidR="00CC2421" w:rsidRDefault="00000000">
      <w:r>
        <w:rPr>
          <w:szCs w:val="24"/>
        </w:rPr>
        <w:t>Concept Check, section 7.4: how does the chain of command clarify reporting relationships? For the proposed Magnum trial, staff would report stock discrepancies to the category manager. The manager could obtain IT support without passing the purchasing decision to the software. Participative leadership would let store employees challenge forecasts using what they see on the shelves [1].</w:t>
      </w:r>
    </w:p>
    <w:p w14:paraId="7D2B1203" w14:textId="77777777" w:rsidR="00CC2421" w:rsidRDefault="00000000">
      <w:pPr>
        <w:pStyle w:val="1"/>
        <w:spacing w:before="120"/>
      </w:pPr>
      <w:r>
        <w:rPr>
          <w:szCs w:val="24"/>
        </w:rPr>
        <w:t>2  Application</w:t>
      </w:r>
    </w:p>
    <w:p w14:paraId="785EEF0D" w14:textId="77777777" w:rsidR="00CC2421" w:rsidRDefault="00000000">
      <w:r>
        <w:rPr>
          <w:szCs w:val="24"/>
        </w:rPr>
        <w:t>Magnum’s retail and wholesale activities make replenishment a relevant process [14]. I propose a six-month forecasting trial in one store and product category, with the category manager accountable for ordering. Week 3 identified inaccurate promotion and stock records as a reason to delay the trial. Those records must therefore be checked first.</w:t>
      </w:r>
    </w:p>
    <w:p w14:paraId="6D05D090" w14:textId="77777777" w:rsidR="00CC2421" w:rsidRDefault="00000000">
      <w:r>
        <w:rPr>
          <w:szCs w:val="24"/>
        </w:rPr>
        <w:t>The matrix separates producing a recommendation from committing money. It describes proposed roles; public company material does not establish Magnum’s current allocation of these tasks.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2952"/>
        <w:gridCol w:w="5137"/>
      </w:tblGrid>
      <w:tr w:rsidR="00CC2421" w14:paraId="7F9770AC" w14:textId="77777777">
        <w:trPr>
          <w:cantSplit/>
          <w:tblHeader/>
          <w:jc w:val="center"/>
        </w:trPr>
        <w:tc>
          <w:tcPr>
            <w:tcW w:w="1944" w:type="dxa"/>
            <w:tcMar>
              <w:top w:w="95" w:type="dxa"/>
              <w:left w:w="85" w:type="dxa"/>
              <w:bottom w:w="95" w:type="dxa"/>
              <w:right w:w="85" w:type="dxa"/>
            </w:tcMar>
            <w:vAlign w:val="center"/>
          </w:tcPr>
          <w:p w14:paraId="131F147C" w14:textId="77777777" w:rsidR="00CC2421" w:rsidRDefault="00000000">
            <w:pPr>
              <w:spacing w:after="40" w:line="252" w:lineRule="auto"/>
            </w:pPr>
            <w:r>
              <w:rPr>
                <w:b/>
                <w:sz w:val="20"/>
                <w:szCs w:val="20"/>
              </w:rPr>
              <w:t>Category</w:t>
            </w:r>
          </w:p>
        </w:tc>
        <w:tc>
          <w:tcPr>
            <w:tcW w:w="2952" w:type="dxa"/>
            <w:tcMar>
              <w:top w:w="95" w:type="dxa"/>
              <w:left w:w="85" w:type="dxa"/>
              <w:bottom w:w="95" w:type="dxa"/>
              <w:right w:w="85" w:type="dxa"/>
            </w:tcMar>
            <w:vAlign w:val="center"/>
          </w:tcPr>
          <w:p w14:paraId="2A618961" w14:textId="77777777" w:rsidR="00CC2421" w:rsidRDefault="00000000">
            <w:pPr>
              <w:spacing w:after="40" w:line="252" w:lineRule="auto"/>
            </w:pPr>
            <w:r>
              <w:rPr>
                <w:b/>
                <w:sz w:val="20"/>
                <w:szCs w:val="20"/>
              </w:rPr>
              <w:t>Task</w:t>
            </w:r>
          </w:p>
        </w:tc>
        <w:tc>
          <w:tcPr>
            <w:tcW w:w="5137" w:type="dxa"/>
            <w:tcMar>
              <w:top w:w="95" w:type="dxa"/>
              <w:left w:w="85" w:type="dxa"/>
              <w:bottom w:w="95" w:type="dxa"/>
              <w:right w:w="85" w:type="dxa"/>
            </w:tcMar>
            <w:vAlign w:val="center"/>
          </w:tcPr>
          <w:p w14:paraId="7AE007C8" w14:textId="77777777" w:rsidR="00CC2421" w:rsidRDefault="00000000">
            <w:pPr>
              <w:spacing w:after="40" w:line="252" w:lineRule="auto"/>
            </w:pPr>
            <w:r>
              <w:rPr>
                <w:b/>
                <w:sz w:val="20"/>
                <w:szCs w:val="20"/>
              </w:rPr>
              <w:t>Reason and control</w:t>
            </w:r>
          </w:p>
        </w:tc>
      </w:tr>
      <w:tr w:rsidR="00CC2421" w14:paraId="1B52B4D0" w14:textId="77777777">
        <w:trPr>
          <w:cantSplit/>
          <w:jc w:val="center"/>
        </w:trPr>
        <w:tc>
          <w:tcPr>
            <w:tcW w:w="1944" w:type="dxa"/>
            <w:tcMar>
              <w:top w:w="95" w:type="dxa"/>
              <w:left w:w="85" w:type="dxa"/>
              <w:bottom w:w="95" w:type="dxa"/>
              <w:right w:w="85" w:type="dxa"/>
            </w:tcMar>
            <w:vAlign w:val="center"/>
          </w:tcPr>
          <w:p w14:paraId="6FCA81C6" w14:textId="77777777" w:rsidR="00CC2421" w:rsidRDefault="00000000">
            <w:pPr>
              <w:spacing w:after="40" w:line="252" w:lineRule="auto"/>
            </w:pPr>
            <w:r>
              <w:rPr>
                <w:sz w:val="20"/>
                <w:szCs w:val="20"/>
              </w:rPr>
              <w:t>Human Only</w:t>
            </w:r>
          </w:p>
        </w:tc>
        <w:tc>
          <w:tcPr>
            <w:tcW w:w="2952" w:type="dxa"/>
            <w:tcMar>
              <w:top w:w="95" w:type="dxa"/>
              <w:left w:w="85" w:type="dxa"/>
              <w:bottom w:w="95" w:type="dxa"/>
              <w:right w:w="85" w:type="dxa"/>
            </w:tcMar>
            <w:vAlign w:val="center"/>
          </w:tcPr>
          <w:p w14:paraId="46E17C8B" w14:textId="77777777" w:rsidR="00CC2421" w:rsidRDefault="00000000">
            <w:pPr>
              <w:spacing w:after="40" w:line="252" w:lineRule="auto"/>
            </w:pPr>
            <w:r>
              <w:rPr>
                <w:sz w:val="20"/>
                <w:szCs w:val="20"/>
              </w:rPr>
              <w:t>Approve the final order and handle exceptional commitments.</w:t>
            </w:r>
          </w:p>
        </w:tc>
        <w:tc>
          <w:tcPr>
            <w:tcW w:w="5137" w:type="dxa"/>
            <w:tcMar>
              <w:top w:w="95" w:type="dxa"/>
              <w:left w:w="85" w:type="dxa"/>
              <w:bottom w:w="95" w:type="dxa"/>
              <w:right w:w="85" w:type="dxa"/>
            </w:tcMar>
            <w:vAlign w:val="center"/>
          </w:tcPr>
          <w:p w14:paraId="5373C4D3" w14:textId="77777777" w:rsidR="00CC2421" w:rsidRDefault="00000000">
            <w:pPr>
              <w:spacing w:after="40" w:line="252" w:lineRule="auto"/>
            </w:pPr>
            <w:r>
              <w:rPr>
                <w:sz w:val="20"/>
                <w:szCs w:val="20"/>
              </w:rPr>
              <w:t>The category manager checks stock, shelf life and budget, records the decision and remains accountable [1], [16], [22].</w:t>
            </w:r>
          </w:p>
        </w:tc>
      </w:tr>
      <w:tr w:rsidR="00CC2421" w14:paraId="30B73586" w14:textId="77777777">
        <w:trPr>
          <w:cantSplit/>
          <w:jc w:val="center"/>
        </w:trPr>
        <w:tc>
          <w:tcPr>
            <w:tcW w:w="1944" w:type="dxa"/>
            <w:tcMar>
              <w:top w:w="95" w:type="dxa"/>
              <w:left w:w="85" w:type="dxa"/>
              <w:bottom w:w="95" w:type="dxa"/>
              <w:right w:w="85" w:type="dxa"/>
            </w:tcMar>
            <w:vAlign w:val="center"/>
          </w:tcPr>
          <w:p w14:paraId="4EEF4117" w14:textId="77777777" w:rsidR="00CC2421" w:rsidRDefault="00000000">
            <w:pPr>
              <w:spacing w:after="40" w:line="252" w:lineRule="auto"/>
            </w:pPr>
            <w:r>
              <w:rPr>
                <w:sz w:val="20"/>
                <w:szCs w:val="20"/>
              </w:rPr>
              <w:t>Human + AI</w:t>
            </w:r>
          </w:p>
        </w:tc>
        <w:tc>
          <w:tcPr>
            <w:tcW w:w="2952" w:type="dxa"/>
            <w:tcMar>
              <w:top w:w="95" w:type="dxa"/>
              <w:left w:w="85" w:type="dxa"/>
              <w:bottom w:w="95" w:type="dxa"/>
              <w:right w:w="85" w:type="dxa"/>
            </w:tcMar>
            <w:vAlign w:val="center"/>
          </w:tcPr>
          <w:p w14:paraId="4BA0EBAB" w14:textId="77777777" w:rsidR="00CC2421" w:rsidRDefault="00000000">
            <w:pPr>
              <w:spacing w:after="40" w:line="252" w:lineRule="auto"/>
            </w:pPr>
            <w:r>
              <w:rPr>
                <w:sz w:val="20"/>
                <w:szCs w:val="20"/>
              </w:rPr>
              <w:t>Interpret promotion effects and unusual demand.</w:t>
            </w:r>
          </w:p>
        </w:tc>
        <w:tc>
          <w:tcPr>
            <w:tcW w:w="5137" w:type="dxa"/>
            <w:tcMar>
              <w:top w:w="95" w:type="dxa"/>
              <w:left w:w="85" w:type="dxa"/>
              <w:bottom w:w="95" w:type="dxa"/>
              <w:right w:w="85" w:type="dxa"/>
            </w:tcMar>
            <w:vAlign w:val="center"/>
          </w:tcPr>
          <w:p w14:paraId="777DD091" w14:textId="77777777" w:rsidR="00CC2421" w:rsidRDefault="00000000">
            <w:pPr>
              <w:spacing w:after="40" w:line="252" w:lineRule="auto"/>
            </w:pPr>
            <w:r>
              <w:rPr>
                <w:sz w:val="20"/>
                <w:szCs w:val="20"/>
              </w:rPr>
              <w:t>AI highlights patterns; staff add local knowledge and challenge misleading suggestions. Store feedback informs the manager’s decision [1].</w:t>
            </w:r>
          </w:p>
        </w:tc>
      </w:tr>
      <w:tr w:rsidR="00CC2421" w14:paraId="28A9333A" w14:textId="77777777">
        <w:trPr>
          <w:cantSplit/>
          <w:jc w:val="center"/>
        </w:trPr>
        <w:tc>
          <w:tcPr>
            <w:tcW w:w="1944" w:type="dxa"/>
            <w:tcMar>
              <w:top w:w="95" w:type="dxa"/>
              <w:left w:w="85" w:type="dxa"/>
              <w:bottom w:w="95" w:type="dxa"/>
              <w:right w:w="85" w:type="dxa"/>
            </w:tcMar>
            <w:vAlign w:val="center"/>
          </w:tcPr>
          <w:p w14:paraId="7F8D3044" w14:textId="77777777" w:rsidR="00CC2421" w:rsidRDefault="00000000">
            <w:pPr>
              <w:spacing w:after="40" w:line="252" w:lineRule="auto"/>
            </w:pPr>
            <w:r>
              <w:rPr>
                <w:sz w:val="20"/>
                <w:szCs w:val="20"/>
              </w:rPr>
              <w:t>AI Executes with Human Review</w:t>
            </w:r>
          </w:p>
        </w:tc>
        <w:tc>
          <w:tcPr>
            <w:tcW w:w="2952" w:type="dxa"/>
            <w:tcMar>
              <w:top w:w="95" w:type="dxa"/>
              <w:left w:w="85" w:type="dxa"/>
              <w:bottom w:w="95" w:type="dxa"/>
              <w:right w:w="85" w:type="dxa"/>
            </w:tcMar>
            <w:vAlign w:val="center"/>
          </w:tcPr>
          <w:p w14:paraId="668191B1" w14:textId="77777777" w:rsidR="00CC2421" w:rsidRDefault="00000000">
            <w:pPr>
              <w:spacing w:after="40" w:line="252" w:lineRule="auto"/>
            </w:pPr>
            <w:r>
              <w:rPr>
                <w:sz w:val="20"/>
                <w:szCs w:val="20"/>
              </w:rPr>
              <w:t>Produce demand forecasts and draft order quantities.</w:t>
            </w:r>
          </w:p>
        </w:tc>
        <w:tc>
          <w:tcPr>
            <w:tcW w:w="5137" w:type="dxa"/>
            <w:tcMar>
              <w:top w:w="95" w:type="dxa"/>
              <w:left w:w="85" w:type="dxa"/>
              <w:bottom w:w="95" w:type="dxa"/>
              <w:right w:w="85" w:type="dxa"/>
            </w:tcMar>
            <w:vAlign w:val="center"/>
          </w:tcPr>
          <w:p w14:paraId="13BF3036" w14:textId="77777777" w:rsidR="00CC2421" w:rsidRDefault="00000000">
            <w:pPr>
              <w:spacing w:after="40" w:line="252" w:lineRule="auto"/>
            </w:pPr>
            <w:r>
              <w:rPr>
                <w:sz w:val="20"/>
                <w:szCs w:val="20"/>
              </w:rPr>
              <w:t>Carrefour’s forecasting example supports testing this use [20]. The manager checks inputs, unusual quantities and supplier limits before accepting or changing each order.</w:t>
            </w:r>
          </w:p>
        </w:tc>
      </w:tr>
      <w:tr w:rsidR="00CC2421" w14:paraId="604BDF8C" w14:textId="77777777">
        <w:trPr>
          <w:cantSplit/>
          <w:jc w:val="center"/>
        </w:trPr>
        <w:tc>
          <w:tcPr>
            <w:tcW w:w="1944" w:type="dxa"/>
            <w:tcMar>
              <w:top w:w="95" w:type="dxa"/>
              <w:left w:w="85" w:type="dxa"/>
              <w:bottom w:w="95" w:type="dxa"/>
              <w:right w:w="85" w:type="dxa"/>
            </w:tcMar>
            <w:vAlign w:val="center"/>
          </w:tcPr>
          <w:p w14:paraId="7E1F06F7" w14:textId="77777777" w:rsidR="00CC2421" w:rsidRDefault="00000000">
            <w:pPr>
              <w:spacing w:after="40" w:line="252" w:lineRule="auto"/>
            </w:pPr>
            <w:r>
              <w:rPr>
                <w:sz w:val="20"/>
                <w:szCs w:val="20"/>
              </w:rPr>
              <w:t>Automated</w:t>
            </w:r>
          </w:p>
        </w:tc>
        <w:tc>
          <w:tcPr>
            <w:tcW w:w="2952" w:type="dxa"/>
            <w:tcMar>
              <w:top w:w="95" w:type="dxa"/>
              <w:left w:w="85" w:type="dxa"/>
              <w:bottom w:w="95" w:type="dxa"/>
              <w:right w:w="85" w:type="dxa"/>
            </w:tcMar>
            <w:vAlign w:val="center"/>
          </w:tcPr>
          <w:p w14:paraId="075B3C34" w14:textId="77777777" w:rsidR="00CC2421" w:rsidRDefault="00000000">
            <w:pPr>
              <w:spacing w:after="40" w:line="252" w:lineRule="auto"/>
            </w:pPr>
            <w:r>
              <w:rPr>
                <w:sz w:val="20"/>
                <w:szCs w:val="20"/>
              </w:rPr>
              <w:t>Check missing fields and timestamps; record versions and approvals.</w:t>
            </w:r>
          </w:p>
        </w:tc>
        <w:tc>
          <w:tcPr>
            <w:tcW w:w="5137" w:type="dxa"/>
            <w:tcMar>
              <w:top w:w="95" w:type="dxa"/>
              <w:left w:w="85" w:type="dxa"/>
              <w:bottom w:w="95" w:type="dxa"/>
              <w:right w:w="85" w:type="dxa"/>
            </w:tcMar>
            <w:vAlign w:val="center"/>
          </w:tcPr>
          <w:p w14:paraId="52213DC7" w14:textId="77777777" w:rsidR="00CC2421" w:rsidRDefault="00000000">
            <w:pPr>
              <w:spacing w:after="40" w:line="252" w:lineRule="auto"/>
            </w:pPr>
            <w:r>
              <w:rPr>
                <w:sz w:val="20"/>
                <w:szCs w:val="20"/>
              </w:rPr>
              <w:t>These are fixed rules, not AI purchasing decisions. Failed checks block the draft and notify staff. Logs make errors traceable [16].</w:t>
            </w:r>
          </w:p>
        </w:tc>
      </w:tr>
    </w:tbl>
    <w:p w14:paraId="59CBD90C" w14:textId="77777777" w:rsidR="00CC2421" w:rsidRDefault="00000000">
      <w:r>
        <w:rPr>
          <w:szCs w:val="24"/>
        </w:rPr>
        <w:t>If records disagree or a forecast fails, staff stop the affected recommendation and alert the category manager. Unresolved supply problems go to the supply-chain lead; technical faults go to IT. Staff use a physical stock count and verified sales to prepare a manual order for the same manager’s approval. Training should include rejecting a poor forecast and practising this fallback.</w:t>
      </w:r>
    </w:p>
    <w:p w14:paraId="7C527D5E" w14:textId="77777777" w:rsidR="00CC2421" w:rsidRDefault="00000000">
      <w:pPr>
        <w:pStyle w:val="1"/>
        <w:spacing w:before="120"/>
      </w:pPr>
      <w:r>
        <w:rPr>
          <w:szCs w:val="24"/>
        </w:rPr>
        <w:t>3  Verification and AI record</w:t>
      </w:r>
    </w:p>
    <w:p w14:paraId="03A08174" w14:textId="20E4D1C8" w:rsidR="00CC2421" w:rsidRDefault="00000000">
      <w:r>
        <w:rPr>
          <w:szCs w:val="24"/>
        </w:rPr>
        <w:t xml:space="preserve">The course text was checked for management functions, participative leadership and reporting relationships [1]. NIST supports explicit responsibilities and staff training [16]. The SAS announcement describes Carrefour’s forecasting work, but it does not establish Magnum’s performance or guarantee savings [20]. </w:t>
      </w:r>
      <w:r w:rsidR="00B727B5">
        <w:rPr>
          <w:szCs w:val="24"/>
        </w:rPr>
        <w:t>GPT-6.1 Sol</w:t>
      </w:r>
      <w:r>
        <w:rPr>
          <w:szCs w:val="24"/>
        </w:rPr>
        <w:t xml:space="preserve"> helped </w:t>
      </w:r>
      <w:r w:rsidR="00B727B5">
        <w:rPr>
          <w:szCs w:val="24"/>
        </w:rPr>
        <w:t>find</w:t>
      </w:r>
      <w:r>
        <w:rPr>
          <w:szCs w:val="24"/>
        </w:rPr>
        <w:t xml:space="preserve"> these </w:t>
      </w:r>
      <w:r w:rsidR="00B727B5">
        <w:rPr>
          <w:szCs w:val="24"/>
        </w:rPr>
        <w:t>sources</w:t>
      </w:r>
      <w:r>
        <w:rPr>
          <w:szCs w:val="24"/>
        </w:rPr>
        <w:t xml:space="preserve">, </w:t>
      </w:r>
      <w:r w:rsidR="00B727B5">
        <w:rPr>
          <w:szCs w:val="24"/>
        </w:rPr>
        <w:t xml:space="preserve">and </w:t>
      </w:r>
      <w:r>
        <w:rPr>
          <w:szCs w:val="24"/>
        </w:rPr>
        <w:t>draft the matrix.</w:t>
      </w:r>
    </w:p>
    <w:p w14:paraId="3F92EDD2" w14:textId="77777777" w:rsidR="00CC2421" w:rsidRDefault="00000000">
      <w:r>
        <w:rPr>
          <w:szCs w:val="24"/>
        </w:rPr>
        <w:lastRenderedPageBreak/>
        <w:t>The important distinction is authority: automating calculations does not mean delegating the right to place an order.</w:t>
      </w:r>
    </w:p>
    <w:p w14:paraId="02BA715A" w14:textId="77777777" w:rsidR="00CC2421" w:rsidRDefault="00000000">
      <w:pPr>
        <w:pStyle w:val="1"/>
        <w:spacing w:before="120"/>
      </w:pPr>
      <w:r>
        <w:rPr>
          <w:szCs w:val="24"/>
        </w:rPr>
        <w:t>4  Transfer</w:t>
      </w:r>
    </w:p>
    <w:p w14:paraId="459B37ED" w14:textId="77777777" w:rsidR="00CC2421" w:rsidRDefault="00000000">
      <w:r>
        <w:rPr>
          <w:szCs w:val="24"/>
        </w:rPr>
        <w:t>PILOT Carrefour’s forecasting approach after reconciling local data [20]. Adapt it to Magnum’s category, promotions and supplier lead times. Keep final approval with a named manager. Do not expand if staff cannot explain the forecasts, correct errors or operate the manual process.</w:t>
      </w:r>
    </w:p>
    <w:p w14:paraId="6EBD5BB5" w14:textId="77777777" w:rsidR="00CC2421" w:rsidRDefault="00000000">
      <w:pPr>
        <w:pStyle w:val="1"/>
        <w:spacing w:before="120"/>
      </w:pPr>
      <w:r>
        <w:rPr>
          <w:szCs w:val="24"/>
        </w:rPr>
        <w:t>5  Evidence</w:t>
      </w:r>
    </w:p>
    <w:p w14:paraId="71743313" w14:textId="77777777" w:rsidR="00CC2421" w:rsidRDefault="00000000">
      <w:r>
        <w:rPr>
          <w:szCs w:val="24"/>
        </w:rPr>
        <w:t>The Evidence Folder links the textbook [1], Magnum’s company description [14], NIST [16] and the SAS announcement [20] to their specific claims. The proposed management roles are an application of these sources, not a published Magnum organisation chart.</w:t>
      </w:r>
    </w:p>
    <w:p w14:paraId="11D85791" w14:textId="77777777" w:rsidR="00CC2421" w:rsidRDefault="00000000">
      <w:pPr>
        <w:pStyle w:val="1"/>
        <w:spacing w:before="120"/>
      </w:pPr>
      <w:r>
        <w:rPr>
          <w:szCs w:val="24"/>
        </w:rPr>
        <w:t>6  Capstone link</w:t>
      </w:r>
    </w:p>
    <w:p w14:paraId="33A40C4D" w14:textId="2A7A4D5C" w:rsidR="00CC2421" w:rsidRDefault="00000000">
      <w:r>
        <w:rPr>
          <w:szCs w:val="24"/>
        </w:rPr>
        <w:t>This record supplies the human–AI operating model for Assignment 2 and the capstone.</w:t>
      </w:r>
    </w:p>
    <w:p w14:paraId="3778A969" w14:textId="77777777" w:rsidR="00CC2421" w:rsidRDefault="00000000">
      <w:pPr>
        <w:pStyle w:val="1"/>
        <w:spacing w:before="120"/>
      </w:pPr>
      <w:r>
        <w:rPr>
          <w:szCs w:val="24"/>
        </w:rPr>
        <w:t>References</w:t>
      </w:r>
    </w:p>
    <w:p w14:paraId="2B07E6E8" w14:textId="77777777" w:rsidR="00CC2421" w:rsidRDefault="00000000">
      <w:r>
        <w:rPr>
          <w:szCs w:val="24"/>
        </w:rPr>
        <w:t>Source numbers and full links are in the cumulative Evidence Folder.</w:t>
      </w:r>
    </w:p>
    <w:p w14:paraId="693209E0" w14:textId="77777777" w:rsidR="00CC2421" w:rsidRDefault="00000000">
      <w:r>
        <w:rPr>
          <w:szCs w:val="24"/>
        </w:rPr>
        <w:t>[1] L. J. Gitman et al., Introduction to Business, 2nd ed. OpenStax, 2026, secs. 6.1, 6.4–6.5 and 7.4–7.5.</w:t>
      </w:r>
    </w:p>
    <w:p w14:paraId="3FB1CE09" w14:textId="77777777" w:rsidR="00CC2421" w:rsidRDefault="00000000">
      <w:r>
        <w:rPr>
          <w:szCs w:val="24"/>
        </w:rPr>
        <w:t>[14] Magnum Cash&amp;Carry, “About us,” n.d.</w:t>
      </w:r>
    </w:p>
    <w:p w14:paraId="233A0C2F" w14:textId="77777777" w:rsidR="00CC2421" w:rsidRDefault="00000000">
      <w:r>
        <w:rPr>
          <w:szCs w:val="24"/>
        </w:rPr>
        <w:t>[16] NIST, “Artificial Intelligence Risk Management Framework AI RMF 1.0,” NIST AI 100-1, Jan. 2023, GOVERN 2.1–2.3.</w:t>
      </w:r>
    </w:p>
    <w:p w14:paraId="04F2238C" w14:textId="77777777" w:rsidR="00CC2421" w:rsidRDefault="00000000">
      <w:r>
        <w:rPr>
          <w:szCs w:val="24"/>
        </w:rPr>
        <w:t>[20] SAS, “Multinational Carrefour relies on SAS AI to optimize supply chain management and reduce food waste,” Jan. 14, 2019.</w:t>
      </w:r>
    </w:p>
    <w:p w14:paraId="584A5560" w14:textId="77777777" w:rsidR="00CC2421" w:rsidRDefault="00000000">
      <w:r>
        <w:rPr>
          <w:szCs w:val="24"/>
        </w:rPr>
        <w:t xml:space="preserve">[22] Magnum </w:t>
      </w:r>
      <w:proofErr w:type="spellStart"/>
      <w:r>
        <w:rPr>
          <w:szCs w:val="24"/>
        </w:rPr>
        <w:t>Cash&amp;Carry</w:t>
      </w:r>
      <w:proofErr w:type="spellEnd"/>
      <w:r>
        <w:rPr>
          <w:szCs w:val="24"/>
        </w:rPr>
        <w:t>, “Corporate rules,” n.d.</w:t>
      </w:r>
    </w:p>
    <w:sectPr w:rsidR="00CC2421" w:rsidSect="00034616">
      <w:footerReference w:type="default" r:id="rId8"/>
      <w:pgSz w:w="11905" w:h="16838"/>
      <w:pgMar w:top="1008" w:right="936" w:bottom="1008" w:left="93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C0D58D" w14:textId="77777777" w:rsidR="00FE466F" w:rsidRDefault="00FE466F">
      <w:pPr>
        <w:spacing w:after="0" w:line="240" w:lineRule="auto"/>
      </w:pPr>
      <w:r>
        <w:separator/>
      </w:r>
    </w:p>
  </w:endnote>
  <w:endnote w:type="continuationSeparator" w:id="0">
    <w:p w14:paraId="5A48ACDA" w14:textId="77777777" w:rsidR="00FE466F" w:rsidRDefault="00FE4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4AB3D" w14:textId="77777777" w:rsidR="00CC2421" w:rsidRDefault="00000000">
    <w:pPr>
      <w:pStyle w:val="a7"/>
      <w:jc w:val="right"/>
    </w:pPr>
    <w:r>
      <w:fldChar w:fldCharType="begin"/>
    </w:r>
    <w:r>
      <w:instrText>PAGE</w:instrText>
    </w:r>
    <w:r>
      <w:fldChar w:fldCharType="separate"/>
    </w:r>
    <w:r w:rsidR="00F964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B51ED0" w14:textId="77777777" w:rsidR="00FE466F" w:rsidRDefault="00FE466F">
      <w:pPr>
        <w:spacing w:after="0" w:line="240" w:lineRule="auto"/>
      </w:pPr>
      <w:r>
        <w:separator/>
      </w:r>
    </w:p>
  </w:footnote>
  <w:footnote w:type="continuationSeparator" w:id="0">
    <w:p w14:paraId="3094302F" w14:textId="77777777" w:rsidR="00FE466F" w:rsidRDefault="00FE4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eastAsia="Times New Roman" w:hAnsi="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eastAsia="Times New Roman" w:hAnsi="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eastAsia="Times New Roman" w:hAnsi="Times New Roman" w:cs="Times New Roman"/>
      </w:rPr>
    </w:lvl>
  </w:abstractNum>
  <w:num w:numId="1" w16cid:durableId="105664216">
    <w:abstractNumId w:val="8"/>
  </w:num>
  <w:num w:numId="2" w16cid:durableId="950165253">
    <w:abstractNumId w:val="6"/>
  </w:num>
  <w:num w:numId="3" w16cid:durableId="761294788">
    <w:abstractNumId w:val="5"/>
  </w:num>
  <w:num w:numId="4" w16cid:durableId="362174265">
    <w:abstractNumId w:val="4"/>
  </w:num>
  <w:num w:numId="5" w16cid:durableId="251669902">
    <w:abstractNumId w:val="7"/>
  </w:num>
  <w:num w:numId="6" w16cid:durableId="382679718">
    <w:abstractNumId w:val="3"/>
  </w:num>
  <w:num w:numId="7" w16cid:durableId="1634483962">
    <w:abstractNumId w:val="2"/>
  </w:num>
  <w:num w:numId="8" w16cid:durableId="379280382">
    <w:abstractNumId w:val="1"/>
  </w:num>
  <w:num w:numId="9" w16cid:durableId="11032331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27B5"/>
    <w:rsid w:val="00CB0664"/>
    <w:rsid w:val="00CC2421"/>
    <w:rsid w:val="00DC5DE7"/>
    <w:rsid w:val="00F96440"/>
    <w:rsid w:val="00FC693F"/>
    <w:rsid w:val="00FE4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1124E"/>
  <w14:defaultImageDpi w14:val="300"/>
  <w15:docId w15:val="{3C475E02-5661-5148-84F6-6BE0A783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color w:val="000000"/>
      <w:sz w:val="24"/>
    </w:rPr>
  </w:style>
  <w:style w:type="paragraph" w:styleId="1">
    <w:name w:val="heading 1"/>
    <w:basedOn w:val="a1"/>
    <w:next w:val="a1"/>
    <w:link w:val="10"/>
    <w:uiPriority w:val="9"/>
    <w:qFormat/>
    <w:rsid w:val="00FC693F"/>
    <w:pPr>
      <w:keepNext/>
      <w:keepLines/>
      <w:outlineLvl w:val="0"/>
    </w:pPr>
    <w:rPr>
      <w:b/>
      <w:bCs/>
      <w:szCs w:val="28"/>
    </w:rPr>
  </w:style>
  <w:style w:type="paragraph" w:styleId="21">
    <w:name w:val="heading 2"/>
    <w:basedOn w:val="a1"/>
    <w:next w:val="a1"/>
    <w:link w:val="22"/>
    <w:uiPriority w:val="9"/>
    <w:unhideWhenUsed/>
    <w:qFormat/>
    <w:rsid w:val="00FC693F"/>
    <w:pPr>
      <w:keepNext/>
      <w:keepLines/>
      <w:outlineLvl w:val="1"/>
    </w:pPr>
    <w:rPr>
      <w:b/>
      <w:bCs/>
      <w:szCs w:val="26"/>
    </w:rPr>
  </w:style>
  <w:style w:type="paragraph" w:styleId="31">
    <w:name w:val="heading 3"/>
    <w:basedOn w:val="a1"/>
    <w:next w:val="a1"/>
    <w:link w:val="32"/>
    <w:uiPriority w:val="9"/>
    <w:unhideWhenUsed/>
    <w:qFormat/>
    <w:rsid w:val="00FC693F"/>
    <w:pPr>
      <w:keepNext/>
      <w:keepLines/>
      <w:outlineLvl w:val="2"/>
    </w:pPr>
    <w:rPr>
      <w:b/>
      <w:bCs/>
    </w:rPr>
  </w:style>
  <w:style w:type="paragraph" w:styleId="4">
    <w:name w:val="heading 4"/>
    <w:basedOn w:val="a1"/>
    <w:next w:val="a1"/>
    <w:link w:val="40"/>
    <w:uiPriority w:val="9"/>
    <w:semiHidden/>
    <w:unhideWhenUsed/>
    <w:qFormat/>
    <w:rsid w:val="00FC693F"/>
    <w:pPr>
      <w:keepNext/>
      <w:keepLines/>
      <w:outlineLvl w:val="3"/>
    </w:pPr>
    <w:rPr>
      <w:b/>
      <w:bCs/>
      <w:i/>
      <w:iCs/>
    </w:rPr>
  </w:style>
  <w:style w:type="paragraph" w:styleId="5">
    <w:name w:val="heading 5"/>
    <w:basedOn w:val="a1"/>
    <w:next w:val="a1"/>
    <w:link w:val="50"/>
    <w:uiPriority w:val="9"/>
    <w:semiHidden/>
    <w:unhideWhenUsed/>
    <w:qFormat/>
    <w:rsid w:val="00FC693F"/>
    <w:pPr>
      <w:keepNext/>
      <w:keepLines/>
      <w:outlineLvl w:val="4"/>
    </w:pPr>
  </w:style>
  <w:style w:type="paragraph" w:styleId="6">
    <w:name w:val="heading 6"/>
    <w:basedOn w:val="a1"/>
    <w:next w:val="a1"/>
    <w:link w:val="60"/>
    <w:uiPriority w:val="9"/>
    <w:semiHidden/>
    <w:unhideWhenUsed/>
    <w:qFormat/>
    <w:rsid w:val="00FC693F"/>
    <w:pPr>
      <w:keepNext/>
      <w:keepLines/>
      <w:outlineLvl w:val="5"/>
    </w:pPr>
    <w:rPr>
      <w:i/>
      <w:iCs/>
    </w:rPr>
  </w:style>
  <w:style w:type="paragraph" w:styleId="7">
    <w:name w:val="heading 7"/>
    <w:basedOn w:val="a1"/>
    <w:next w:val="a1"/>
    <w:link w:val="70"/>
    <w:uiPriority w:val="9"/>
    <w:semiHidden/>
    <w:unhideWhenUsed/>
    <w:qFormat/>
    <w:rsid w:val="00FC693F"/>
    <w:pPr>
      <w:keepNext/>
      <w:keepLines/>
      <w:outlineLvl w:val="6"/>
    </w:pPr>
    <w:rPr>
      <w:i/>
      <w:iCs/>
    </w:rPr>
  </w:style>
  <w:style w:type="paragraph" w:styleId="8">
    <w:name w:val="heading 8"/>
    <w:basedOn w:val="a1"/>
    <w:next w:val="a1"/>
    <w:link w:val="80"/>
    <w:uiPriority w:val="9"/>
    <w:semiHidden/>
    <w:unhideWhenUsed/>
    <w:qFormat/>
    <w:rsid w:val="00FC693F"/>
    <w:pPr>
      <w:keepNext/>
      <w:keepLines/>
      <w:outlineLvl w:val="7"/>
    </w:pPr>
    <w:rPr>
      <w:szCs w:val="20"/>
    </w:rPr>
  </w:style>
  <w:style w:type="paragraph" w:styleId="9">
    <w:name w:val="heading 9"/>
    <w:basedOn w:val="a1"/>
    <w:next w:val="a1"/>
    <w:link w:val="90"/>
    <w:uiPriority w:val="9"/>
    <w:semiHidden/>
    <w:unhideWhenUsed/>
    <w:qFormat/>
    <w:rsid w:val="00FC693F"/>
    <w:pPr>
      <w:keepNext/>
      <w:keepLines/>
      <w:outlineLvl w:val="8"/>
    </w:pPr>
    <w:rPr>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rPr>
      <w:rFonts w:ascii="Times New Roman" w:eastAsia="Times New Roman" w:hAnsi="Times New Roman" w:cs="Times New Roman"/>
      <w:color w:val="000000"/>
      <w:sz w:val="24"/>
    </w:rPr>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rPr>
      <w:rFonts w:ascii="Times New Roman" w:eastAsia="Times New Roman" w:hAnsi="Times New Roman" w:cs="Times New Roman"/>
      <w:color w:val="000000"/>
      <w:sz w:val="24"/>
    </w:rPr>
  </w:style>
  <w:style w:type="paragraph" w:styleId="a9">
    <w:name w:val="No Spacing"/>
    <w:uiPriority w:val="1"/>
    <w:qFormat/>
    <w:rsid w:val="00FC693F"/>
    <w:pPr>
      <w:spacing w:after="120"/>
    </w:pPr>
    <w:rPr>
      <w:color w:val="000000"/>
      <w:sz w:val="24"/>
    </w:r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000000"/>
      <w:sz w:val="24"/>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000000"/>
      <w:sz w:val="24"/>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000000"/>
      <w:sz w:val="24"/>
    </w:rPr>
  </w:style>
  <w:style w:type="paragraph" w:styleId="aa">
    <w:name w:val="Title"/>
    <w:basedOn w:val="a1"/>
    <w:next w:val="a1"/>
    <w:link w:val="ab"/>
    <w:uiPriority w:val="10"/>
    <w:qFormat/>
    <w:rsid w:val="00FC693F"/>
    <w:pPr>
      <w:keepNext/>
      <w:contextualSpacing/>
    </w:pPr>
    <w:rPr>
      <w:spacing w:val="5"/>
      <w:kern w:val="28"/>
      <w:szCs w:val="52"/>
    </w:rPr>
  </w:style>
  <w:style w:type="character" w:customStyle="1" w:styleId="ab">
    <w:name w:val="Заголовок Знак"/>
    <w:basedOn w:val="a2"/>
    <w:link w:val="aa"/>
    <w:uiPriority w:val="10"/>
    <w:rsid w:val="00FC693F"/>
    <w:rPr>
      <w:rFonts w:ascii="Times New Roman" w:eastAsia="Times New Roman" w:hAnsi="Times New Roman" w:cs="Times New Roman"/>
      <w:color w:val="000000"/>
      <w:spacing w:val="5"/>
      <w:kern w:val="28"/>
      <w:sz w:val="24"/>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Подзаголовок Знак"/>
    <w:basedOn w:val="a2"/>
    <w:link w:val="ac"/>
    <w:uiPriority w:val="11"/>
    <w:rsid w:val="00FC693F"/>
    <w:rPr>
      <w:rFonts w:ascii="Times New Roman" w:eastAsia="Times New Roman"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rPr>
      <w:rFonts w:ascii="Times New Roman" w:eastAsia="Times New Roman" w:hAnsi="Times New Roman" w:cs="Times New Roman"/>
      <w:color w:val="000000"/>
      <w:sz w:val="24"/>
    </w:rPr>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rPr>
      <w:rFonts w:ascii="Times New Roman" w:eastAsia="Times New Roman" w:hAnsi="Times New Roman" w:cs="Times New Roman"/>
      <w:color w:val="000000"/>
      <w:sz w:val="24"/>
    </w:rPr>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rFonts w:ascii="Times New Roman" w:eastAsia="Times New Roman" w:hAnsi="Times New Roman" w:cs="Times New Roman"/>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120"/>
    </w:pPr>
    <w:rPr>
      <w:color w:val="000000"/>
      <w:sz w:val="24"/>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color w:val="000000"/>
      <w:sz w:val="24"/>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eastAsia="Times New Roman" w:hAnsi="Times New Roman" w:cs="Times New Roman"/>
      <w:i/>
      <w:iCs/>
      <w:color w:val="000000"/>
      <w:sz w:val="24"/>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000000"/>
      <w:sz w:val="24"/>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000000"/>
      <w:sz w:val="24"/>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000000"/>
      <w:sz w:val="24"/>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000000"/>
      <w:sz w:val="24"/>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000000"/>
      <w:sz w:val="24"/>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000000"/>
      <w:sz w:val="24"/>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rFonts w:ascii="Times New Roman" w:eastAsia="Times New Roman" w:hAnsi="Times New Roman" w:cs="Times New Roman"/>
      <w:b/>
      <w:bCs/>
      <w:color w:val="000000"/>
      <w:sz w:val="24"/>
    </w:rPr>
  </w:style>
  <w:style w:type="character" w:styleId="af7">
    <w:name w:val="Emphasis"/>
    <w:basedOn w:val="a2"/>
    <w:uiPriority w:val="20"/>
    <w:qFormat/>
    <w:rsid w:val="00FC693F"/>
    <w:rPr>
      <w:rFonts w:ascii="Times New Roman" w:eastAsia="Times New Roman" w:hAnsi="Times New Roman" w:cs="Times New Roman"/>
      <w:i/>
      <w:iCs/>
      <w:color w:val="000000"/>
      <w:sz w:val="24"/>
    </w:rPr>
  </w:style>
  <w:style w:type="paragraph" w:styleId="af8">
    <w:name w:val="Intense Quote"/>
    <w:basedOn w:val="a1"/>
    <w:next w:val="a1"/>
    <w:link w:val="af9"/>
    <w:uiPriority w:val="30"/>
    <w:qFormat/>
    <w:rsid w:val="00FC693F"/>
    <w:pPr>
      <w:ind w:left="936" w:right="936"/>
    </w:pPr>
    <w:rPr>
      <w:b/>
      <w:bCs/>
      <w:i/>
      <w:iCs/>
    </w:rPr>
  </w:style>
  <w:style w:type="character" w:customStyle="1" w:styleId="af9">
    <w:name w:val="Выделенная цитата Знак"/>
    <w:basedOn w:val="a2"/>
    <w:link w:val="af8"/>
    <w:uiPriority w:val="30"/>
    <w:rsid w:val="00FC693F"/>
    <w:rPr>
      <w:rFonts w:ascii="Times New Roman" w:eastAsia="Times New Roman" w:hAnsi="Times New Roman" w:cs="Times New Roman"/>
      <w:b/>
      <w:bCs/>
      <w:i/>
      <w:iCs/>
      <w:color w:val="000000"/>
      <w:sz w:val="24"/>
    </w:rPr>
  </w:style>
  <w:style w:type="character" w:styleId="afa">
    <w:name w:val="Subtle Emphasis"/>
    <w:basedOn w:val="a2"/>
    <w:uiPriority w:val="19"/>
    <w:qFormat/>
    <w:rsid w:val="00FC693F"/>
    <w:rPr>
      <w:rFonts w:ascii="Times New Roman" w:eastAsia="Times New Roman" w:hAnsi="Times New Roman" w:cs="Times New Roman"/>
      <w:i/>
      <w:iCs/>
      <w:color w:val="000000"/>
      <w:sz w:val="24"/>
    </w:rPr>
  </w:style>
  <w:style w:type="character" w:styleId="afb">
    <w:name w:val="Intense Emphasis"/>
    <w:basedOn w:val="a2"/>
    <w:uiPriority w:val="21"/>
    <w:qFormat/>
    <w:rsid w:val="00FC693F"/>
    <w:rPr>
      <w:rFonts w:ascii="Times New Roman" w:eastAsia="Times New Roman" w:hAnsi="Times New Roman" w:cs="Times New Roman"/>
      <w:b/>
      <w:bCs/>
      <w:i/>
      <w:iCs/>
      <w:color w:val="000000"/>
      <w:sz w:val="24"/>
    </w:rPr>
  </w:style>
  <w:style w:type="character" w:styleId="afc">
    <w:name w:val="Subtle Reference"/>
    <w:basedOn w:val="a2"/>
    <w:uiPriority w:val="31"/>
    <w:qFormat/>
    <w:rsid w:val="00FC693F"/>
    <w:rPr>
      <w:rFonts w:ascii="Times New Roman" w:eastAsia="Times New Roman" w:hAnsi="Times New Roman" w:cs="Times New Roman"/>
      <w:smallCaps/>
      <w:color w:val="000000"/>
      <w:sz w:val="24"/>
      <w:u w:val="single"/>
    </w:rPr>
  </w:style>
  <w:style w:type="character" w:styleId="afd">
    <w:name w:val="Intense Reference"/>
    <w:basedOn w:val="a2"/>
    <w:uiPriority w:val="32"/>
    <w:qFormat/>
    <w:rsid w:val="00FC693F"/>
    <w:rPr>
      <w:rFonts w:ascii="Times New Roman" w:eastAsia="Times New Roman" w:hAnsi="Times New Roman" w:cs="Times New Roman"/>
      <w:b/>
      <w:bCs/>
      <w:smallCaps/>
      <w:color w:val="000000"/>
      <w:spacing w:val="5"/>
      <w:sz w:val="24"/>
      <w:u w:val="single"/>
    </w:rPr>
  </w:style>
  <w:style w:type="character" w:styleId="afe">
    <w:name w:val="Book Title"/>
    <w:basedOn w:val="a2"/>
    <w:uiPriority w:val="33"/>
    <w:qFormat/>
    <w:rsid w:val="00FC693F"/>
    <w:rPr>
      <w:rFonts w:ascii="Times New Roman" w:eastAsia="Times New Roman" w:hAnsi="Times New Roman" w:cs="Times New Roman"/>
      <w:b/>
      <w:bCs/>
      <w:smallCaps/>
      <w:color w:val="000000"/>
      <w:spacing w:val="5"/>
      <w:sz w:val="24"/>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color w:val="000000"/>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1">
    <w:name w:val="Light Shading"/>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1">
    <w:name w:val="Light Shading Accent 1"/>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2">
    <w:name w:val="Light Shading Accent 2"/>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3">
    <w:name w:val="Light Shading Accent 3"/>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4">
    <w:name w:val="Light Shading Accent 4"/>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5">
    <w:name w:val="Light Shading Accent 5"/>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6">
    <w:name w:val="Light Shading Accent 6"/>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aff2">
    <w:name w:val="Light List"/>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3">
    <w:name w:val="Light Grid"/>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Medium Shading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1">
    <w:name w:val="Medium Shading 2 Accent 1"/>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2">
    <w:name w:val="Medium Shading 2 Accent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3">
    <w:name w:val="Medium Shading 2 Accent 3"/>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4">
    <w:name w:val="Medium Shading 2 Accent 4"/>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5">
    <w:name w:val="Medium Shading 2 Accent 5"/>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6">
    <w:name w:val="Medium Shading 2 Accent 6"/>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12">
    <w:name w:val="Medium Lis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10">
    <w:name w:val="Medium List 1 Accen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20">
    <w:name w:val="Medium List 1 Accent 2"/>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30">
    <w:name w:val="Medium List 1 Accent 3"/>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40">
    <w:name w:val="Medium List 1 Accent 4"/>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50">
    <w:name w:val="Medium List 1 Accent 5"/>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60">
    <w:name w:val="Medium List 1 Accent 6"/>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2a">
    <w:name w:val="Medium Lis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13">
    <w:name w:val="Medium Grid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11">
    <w:name w:val="Medium Grid 1 Accent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21">
    <w:name w:val="Medium Grid 1 Accent 2"/>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31">
    <w:name w:val="Medium Grid 1 Accent 3"/>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41">
    <w:name w:val="Medium Grid 1 Accent 4"/>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51">
    <w:name w:val="Medium Grid 1 Accent 5"/>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61">
    <w:name w:val="Medium Grid 1 Accent 6"/>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2b">
    <w:name w:val="Medium Grid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11">
    <w:name w:val="Medium Grid 2 Accent 1"/>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21">
    <w:name w:val="Medium Grid 2 Accent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31">
    <w:name w:val="Medium Grid 2 Accent 3"/>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41">
    <w:name w:val="Medium Grid 2 Accent 4"/>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51">
    <w:name w:val="Medium Grid 2 Accent 5"/>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61">
    <w:name w:val="Medium Grid 2 Accent 6"/>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37">
    <w:name w:val="Medium Grid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1">
    <w:name w:val="Medium Grid 3 Accent 1"/>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2">
    <w:name w:val="Medium Grid 3 Accent 2"/>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3">
    <w:name w:val="Medium Grid 3 Accent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4">
    <w:name w:val="Medium Grid 3 Accent 4"/>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5">
    <w:name w:val="Medium Grid 3 Accent 5"/>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6">
    <w:name w:val="Medium Grid 3 Accent 6"/>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aff4">
    <w:name w:val="Dark List"/>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12">
    <w:name w:val="Dark List Accent 1"/>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22">
    <w:name w:val="Dark List Accent 2"/>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32">
    <w:name w:val="Dark List Accent 3"/>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42">
    <w:name w:val="Dark List Accent 4"/>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52">
    <w:name w:val="Dark List Accent 5"/>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62">
    <w:name w:val="Dark List Accent 6"/>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aff5">
    <w:name w:val="Colorful Shading"/>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style>
  <w:style w:type="table" w:styleId="-43">
    <w:name w:val="Colorful Shading Accent 4"/>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14">
    <w:name w:val="Colorful List Accent 1"/>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24">
    <w:name w:val="Colorful List Accent 2"/>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34">
    <w:name w:val="Colorful List Accent 3"/>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44">
    <w:name w:val="Colorful List Accent 4"/>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54">
    <w:name w:val="Colorful List Accent 5"/>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64">
    <w:name w:val="Colorful List Accent 6"/>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aff7">
    <w:name w:val="Colorful Grid"/>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15">
    <w:name w:val="Colorful Grid Accent 1"/>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25">
    <w:name w:val="Colorful Grid Accent 2"/>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35">
    <w:name w:val="Colorful Grid Accent 3"/>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45">
    <w:name w:val="Colorful Grid Accent 4"/>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55">
    <w:name w:val="Colorful Grid Accent 5"/>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65">
    <w:name w:val="Colorful Grid Accent 6"/>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4</dc:title>
  <dc:subject/>
  <dc:creator>Kniazev Daniil</dc:creator>
  <cp:keywords/>
  <dc:description>generated by python-docx</dc:description>
  <cp:lastModifiedBy>Daniil Tate</cp:lastModifiedBy>
  <cp:revision>3</cp:revision>
  <dcterms:created xsi:type="dcterms:W3CDTF">2013-12-23T23:15:00Z</dcterms:created>
  <dcterms:modified xsi:type="dcterms:W3CDTF">2026-10-04T16:04:00Z</dcterms:modified>
  <cp:category/>
</cp:coreProperties>
</file>