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left"/>
      </w:pPr>
      <w:r>
        <w:rPr>
          <w:rFonts w:ascii="Times New Roman" w:cs="Times New Roman" w:eastAsia="Times New Roman" w:hAnsi="Times New Roman"/>
          <w:sz w:val="20"/>
          <w:szCs w:val="20"/>
        </w:rPr>
        <w:t xml:space="preserve">Astana IT University · Business Administration · 2nd attestation</w:t>
      </w:r>
    </w:p>
    <w:p>
      <w:pPr>
        <w:spacing w:after="60" w:before="0" w:line="240"/>
        <w:jc w:val="left"/>
      </w:pPr>
      <w:r>
        <w:rPr>
          <w:rFonts w:ascii="Times New Roman" w:cs="Times New Roman" w:eastAsia="Times New Roman" w:hAnsi="Times New Roman"/>
          <w:b/>
          <w:bCs/>
          <w:sz w:val="32"/>
          <w:szCs w:val="32"/>
        </w:rPr>
        <w:t xml:space="preserve">Assignment 4: Appendix</w:t>
      </w:r>
    </w:p>
    <w:p>
      <w:pPr>
        <w:spacing w:after="120" w:before="0" w:line="276"/>
        <w:jc w:val="left"/>
      </w:pPr>
      <w:r>
        <w:rPr>
          <w:rFonts w:ascii="Times New Roman" w:cs="Times New Roman" w:eastAsia="Times New Roman" w:hAnsi="Times New Roman"/>
          <w:i/>
          <w:iCs/>
          <w:sz w:val="24"/>
          <w:szCs w:val="24"/>
        </w:rPr>
        <w:t xml:space="preserve">Week 8 calculations and discrepancy audit · Week 9 Career Capability Portfolio</w:t>
      </w:r>
    </w:p>
    <w:p>
      <w:pPr>
        <w:spacing w:after="40" w:before="0" w:line="276"/>
        <w:jc w:val="left"/>
      </w:pPr>
      <w:r>
        <w:rPr>
          <w:rFonts w:ascii="Times New Roman" w:cs="Times New Roman" w:eastAsia="Times New Roman" w:hAnsi="Times New Roman"/>
          <w:sz w:val="24"/>
          <w:szCs w:val="24"/>
        </w:rPr>
        <w:t xml:space="preserve">Kniazev Daniil · Group AIB-2602 · 25 October 2026</w:t>
      </w:r>
    </w:p>
    <w:p>
      <w:pPr>
        <w:pBdr>
          <w:bottom w:val="single" w:color="000000" w:sz="6" w:space="4"/>
        </w:pBdr>
        <w:spacing w:after="120" w:before="0" w:line="276"/>
        <w:jc w:val="left"/>
      </w:pPr>
      <w:r>
        <w:rPr>
          <w:rFonts w:ascii="Times New Roman" w:cs="Times New Roman" w:eastAsia="Times New Roman" w:hAnsi="Times New Roman"/>
          <w:sz w:val="24"/>
          <w:szCs w:val="24"/>
        </w:rPr>
        <w:t xml:space="preserve">Company A: Carrefour · Company B: Magnum Cash&amp;Carry</w:t>
      </w:r>
    </w:p>
    <w:p>
      <w:pPr>
        <w:pStyle w:val="Heading1"/>
        <w:keepNext/>
        <w:spacing w:after="80" w:before="240" w:line="276"/>
        <w:jc w:val="left"/>
      </w:pPr>
      <w:r>
        <w:rPr>
          <w:rFonts w:ascii="Times New Roman" w:cs="Times New Roman" w:eastAsia="Times New Roman" w:hAnsi="Times New Roman"/>
          <w:b/>
          <w:bCs/>
          <w:sz w:val="26"/>
          <w:szCs w:val="26"/>
        </w:rPr>
        <w:t xml:space="preserve">A. Week 8: Magnum ratios and discrepancy audit</w:t>
      </w:r>
    </w:p>
    <w:p>
      <w:pPr>
        <w:spacing w:after="120" w:before="0" w:line="276"/>
        <w:jc w:val="both"/>
      </w:pPr>
      <w:r>
        <w:rPr>
          <w:rFonts w:ascii="Times New Roman" w:cs="Times New Roman" w:eastAsia="Times New Roman" w:hAnsi="Times New Roman"/>
          <w:b/>
          <w:bCs/>
          <w:sz w:val="24"/>
          <w:szCs w:val="24"/>
        </w:rPr>
        <w:t xml:space="preserve">Data. </w:t>
      </w:r>
      <w:r>
        <w:rPr>
          <w:rFonts w:ascii="Times New Roman" w:cs="Times New Roman" w:eastAsia="Times New Roman" w:hAnsi="Times New Roman"/>
          <w:sz w:val="24"/>
          <w:szCs w:val="24"/>
        </w:rPr>
        <w:t xml:space="preserve">Magnum Cash&amp;Carry is a private partnership. I found no published balance sheet, income statement or cash-flow statement, so liquidity, profitability, activity and debt ratios cannot be calculated. Forbes Kazakhstan’s rankings of the largest private companies give revenue and headcount; net profit is “no data” in the 2024 and 2025 rankings [1], [2]. Earlier years appear only on Forbes’s company profile [13].</w:t>
      </w:r>
    </w:p>
    <w:p>
      <w:pPr>
        <w:spacing w:after="120" w:before="0" w:line="276"/>
        <w:jc w:val="both"/>
      </w:pPr>
      <w:r>
        <w:rPr>
          <w:rFonts w:ascii="Times New Roman" w:cs="Times New Roman" w:eastAsia="Times New Roman" w:hAnsi="Times New Roman"/>
          <w:b/>
          <w:bCs/>
          <w:sz w:val="24"/>
          <w:szCs w:val="24"/>
        </w:rPr>
        <w:t xml:space="preserve">Formulas. </w:t>
      </w:r>
      <w:r>
        <w:rPr>
          <w:rFonts w:ascii="Times New Roman" w:cs="Times New Roman" w:eastAsia="Times New Roman" w:hAnsi="Times New Roman"/>
          <w:sz w:val="24"/>
          <w:szCs w:val="24"/>
        </w:rPr>
        <w:t xml:space="preserve">Revenue per employee = revenue ÷ employees. Nominal change = revenue(t) ÷ revenue(t−1) − 1. Real change = [revenue(t) ÷ (1 + inflation(t))] ÷ revenue(t−1) − 1, using annual inflation of 9.8% for 2023 and 8.6% for 2024 reported from the Bureau of National Statistics [4]. December-on-December inflation is used as an approximation of the average price change in the year.</w:t>
      </w:r>
    </w:p>
    <w:p>
      <w:pPr>
        <w:keepNext/>
        <w:spacing w:after="80" w:before="120" w:line="276"/>
        <w:jc w:val="left"/>
      </w:pPr>
      <w:r>
        <w:rPr>
          <w:rFonts w:ascii="Times New Roman" w:cs="Times New Roman" w:eastAsia="Times New Roman" w:hAnsi="Times New Roman"/>
          <w:b/>
          <w:bCs/>
          <w:sz w:val="22"/>
          <w:szCs w:val="22"/>
        </w:rPr>
        <w:t xml:space="preserve">Table A1 · Revenue, headcount and revenue per employee by fiscal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15"/>
        <w:gridCol w:w="1159"/>
        <w:gridCol w:w="1037"/>
        <w:gridCol w:w="1220"/>
        <w:gridCol w:w="1220"/>
        <w:gridCol w:w="1647"/>
        <w:gridCol w:w="1828"/>
      </w:tblGrid>
      <w:tr>
        <w:trPr>
          <w:cantSplit/>
          <w:tblHeader/>
        </w:trPr>
        <w:tc>
          <w:tcPr>
            <w:tcW w:type="dxa" w:w="9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Fiscal year</w:t>
            </w:r>
          </w:p>
        </w:tc>
        <w:tc>
          <w:tcPr>
            <w:tcW w:type="dxa" w:w="115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Ranking (published)</w:t>
            </w:r>
          </w:p>
        </w:tc>
        <w:tc>
          <w:tcPr>
            <w:tcW w:type="dxa" w:w="10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Revenue, bn ₸</w:t>
            </w:r>
          </w:p>
        </w:tc>
        <w:tc>
          <w:tcPr>
            <w:tcW w:type="dxa" w:w="122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Employees</w:t>
            </w:r>
          </w:p>
        </w:tc>
        <w:tc>
          <w:tcPr>
            <w:tcW w:type="dxa" w:w="122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Revenue per employee, m ₸</w:t>
            </w:r>
          </w:p>
        </w:tc>
        <w:tc>
          <w:tcPr>
            <w:tcW w:type="dxa" w:w="164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Revenue change</w:t>
            </w:r>
          </w:p>
        </w:tc>
        <w:tc>
          <w:tcPr>
            <w:tcW w:type="dxa" w:w="18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Status</w:t>
            </w:r>
          </w:p>
        </w:tc>
      </w:tr>
      <w:tr>
        <w:trPr>
          <w:cantSplit/>
          <w:tblHeader w:val="false"/>
        </w:trPr>
        <w:tc>
          <w:tcPr>
            <w:tcW w:type="dxa" w:w="9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2021</w:t>
            </w:r>
          </w:p>
        </w:tc>
        <w:tc>
          <w:tcPr>
            <w:tcW w:type="dxa" w:w="1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Dec. 2022</w:t>
            </w:r>
          </w:p>
        </w:tc>
        <w:tc>
          <w:tcPr>
            <w:tcW w:type="dxa" w:w="10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344.96</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12,466</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27.67</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w:t>
            </w:r>
          </w:p>
        </w:tc>
        <w:tc>
          <w:tcPr>
            <w:tcW w:type="dxa" w:w="18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Profile only [13]</w:t>
            </w:r>
          </w:p>
        </w:tc>
      </w:tr>
      <w:tr>
        <w:trPr>
          <w:cantSplit/>
          <w:tblHeader w:val="false"/>
        </w:trPr>
        <w:tc>
          <w:tcPr>
            <w:tcW w:type="dxa" w:w="9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2022</w:t>
            </w:r>
          </w:p>
        </w:tc>
        <w:tc>
          <w:tcPr>
            <w:tcW w:type="dxa" w:w="1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Dec. 2023</w:t>
            </w:r>
          </w:p>
        </w:tc>
        <w:tc>
          <w:tcPr>
            <w:tcW w:type="dxa" w:w="10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463.10</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13,509</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34.28</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+34.2% nominal</w:t>
            </w:r>
          </w:p>
        </w:tc>
        <w:tc>
          <w:tcPr>
            <w:tcW w:type="dxa" w:w="18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Profile only [13]</w:t>
            </w:r>
          </w:p>
        </w:tc>
      </w:tr>
      <w:tr>
        <w:trPr>
          <w:cantSplit/>
          <w:tblHeader w:val="false"/>
        </w:trPr>
        <w:tc>
          <w:tcPr>
            <w:tcW w:type="dxa" w:w="9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2023</w:t>
            </w:r>
          </w:p>
        </w:tc>
        <w:tc>
          <w:tcPr>
            <w:tcW w:type="dxa" w:w="1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11 Dec. 2024</w:t>
            </w:r>
          </w:p>
        </w:tc>
        <w:tc>
          <w:tcPr>
            <w:tcW w:type="dxa" w:w="10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480.00</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10,000</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48.00</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+3.6% nominal, −5.6% real</w:t>
            </w:r>
          </w:p>
        </w:tc>
        <w:tc>
          <w:tcPr>
            <w:tcW w:type="dxa" w:w="18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Methodology checked [2]; headcount rounded</w:t>
            </w:r>
          </w:p>
        </w:tc>
      </w:tr>
      <w:tr>
        <w:trPr>
          <w:cantSplit/>
          <w:tblHeader w:val="false"/>
        </w:trPr>
        <w:tc>
          <w:tcPr>
            <w:tcW w:type="dxa" w:w="9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2024</w:t>
            </w:r>
          </w:p>
        </w:tc>
        <w:tc>
          <w:tcPr>
            <w:tcW w:type="dxa" w:w="1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8 Dec. 2025</w:t>
            </w:r>
          </w:p>
        </w:tc>
        <w:tc>
          <w:tcPr>
            <w:tcW w:type="dxa" w:w="10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453.13</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9,599</w:t>
            </w:r>
          </w:p>
        </w:tc>
        <w:tc>
          <w:tcPr>
            <w:tcW w:type="dxa" w:w="12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47.21</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−5.6% nominal, −13.1% real</w:t>
            </w:r>
          </w:p>
        </w:tc>
        <w:tc>
          <w:tcPr>
            <w:tcW w:type="dxa" w:w="18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Methodology checked [1]</w:t>
            </w:r>
          </w:p>
        </w:tc>
      </w:tr>
    </w:tbl>
    <w:p>
      <w:pPr>
        <w:spacing w:after="60" w:before="0" w:line="276"/>
        <w:jc w:val="left"/>
      </w:pPr>
      <w:r>
        <w:rPr>
          <w:rFonts w:ascii="Times New Roman" w:cs="Times New Roman" w:eastAsia="Times New Roman" w:hAnsi="Times New Roman"/>
          <w:sz w:val="24"/>
          <w:szCs w:val="24"/>
        </w:rPr>
        <w:t xml:space="preserve"/>
      </w:r>
    </w:p>
    <w:p>
      <w:pPr>
        <w:spacing w:after="120" w:before="0" w:line="240"/>
        <w:jc w:val="left"/>
      </w:pPr>
      <w:r>
        <w:rPr>
          <w:rFonts w:ascii="Times New Roman" w:cs="Times New Roman" w:eastAsia="Times New Roman" w:hAnsi="Times New Roman"/>
          <w:i/>
          <w:iCs/>
          <w:sz w:val="20"/>
          <w:szCs w:val="20"/>
        </w:rPr>
        <w:t xml:space="preserve">Fiscal years follow the rankings’ methodology: the 2025 ranking uses 2024 revenue [1] and the 2024 ranking uses 2023 revenue [2]. Rows marked “Profile only” were read from the company profile, whose underlying ranking methodology I could not open; they are context, not evidence, and the changes for 2022 and 2023 rest on them as base years. The 2023 headcount of 10,000 is the same round figure Magnum’s careers site gives for its whole workforce [3].</w:t>
      </w:r>
    </w:p>
    <w:p>
      <w:pPr>
        <w:keepNext/>
        <w:spacing w:after="80" w:before="120" w:line="276"/>
        <w:jc w:val="left"/>
      </w:pPr>
      <w:r>
        <w:rPr>
          <w:rFonts w:ascii="Times New Roman" w:cs="Times New Roman" w:eastAsia="Times New Roman" w:hAnsi="Times New Roman"/>
          <w:b/>
          <w:bCs/>
          <w:sz w:val="22"/>
          <w:szCs w:val="22"/>
        </w:rPr>
        <w:t xml:space="preserve">Table A2 · Discrepancy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9"/>
        <w:gridCol w:w="3031"/>
        <w:gridCol w:w="3166"/>
        <w:gridCol w:w="2290"/>
      </w:tblGrid>
      <w:tr>
        <w:trPr>
          <w:cantSplit/>
          <w:tblHeader/>
        </w:trPr>
        <w:tc>
          <w:tcPr>
            <w:tcW w:type="dxa" w:w="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No.</w:t>
            </w:r>
          </w:p>
        </w:tc>
        <w:tc>
          <w:tcPr>
            <w:tcW w:type="dxa" w:w="30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AI-supported interpretation (quoted)</w:t>
            </w:r>
          </w:p>
        </w:tc>
        <w:tc>
          <w:tcPr>
            <w:tcW w:type="dxa" w:w="316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Independent check</w:t>
            </w:r>
          </w:p>
        </w:tc>
        <w:tc>
          <w:tcPr>
            <w:tcW w:type="dxa" w:w="229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Outcome</w:t>
            </w:r>
          </w:p>
        </w:tc>
      </w:tr>
      <w:tr>
        <w:trPr>
          <w:cantSplit/>
          <w:tblHeader w:val="false"/>
        </w:trPr>
        <w:tc>
          <w:tcPr>
            <w:tcW w:type="dxa" w:w="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1</w:t>
            </w:r>
          </w:p>
        </w:tc>
        <w:tc>
          <w:tcPr>
            <w:tcW w:type="dxa" w:w="30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Notes that the page labels figures by ranking year, then says headcount dropped “between 2023 and 2025”</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The 2025 ranking uses 2024 revenue and the 2024 ranking uses 2023 revenue [1], [2]</w:t>
            </w:r>
          </w:p>
        </w:tc>
        <w:tc>
          <w:tcPr>
            <w:tcW w:type="dxa" w:w="22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Corrected: every year moves back by one; the comparison is fiscal 2022 to 2024</w:t>
            </w:r>
          </w:p>
        </w:tc>
      </w:tr>
      <w:tr>
        <w:trPr>
          <w:cantSplit/>
          <w:tblHeader w:val="false"/>
        </w:trPr>
        <w:tc>
          <w:tcPr>
            <w:tcW w:type="dxa" w:w="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2</w:t>
            </w:r>
          </w:p>
        </w:tc>
        <w:tc>
          <w:tcPr>
            <w:tcW w:type="dxa" w:w="30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Revenue per employee rose to 47.2 m ₸, “a sign of higher productivity”</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The largest jump (+40.0%) falls in 2023, whose headcount is a round 10,000 [2], [3]; Forbes says it estimates missing data [1]</w:t>
            </w:r>
          </w:p>
        </w:tc>
        <w:tc>
          <w:tcPr>
            <w:tcW w:type="dxa" w:w="22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Rejected for 2023; 9,599 (2024) is the only exact recent headcount</w:t>
            </w:r>
          </w:p>
        </w:tc>
      </w:tr>
      <w:tr>
        <w:trPr>
          <w:cantSplit/>
          <w:tblHeader w:val="false"/>
        </w:trPr>
        <w:tc>
          <w:tcPr>
            <w:tcW w:type="dxa" w:w="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3</w:t>
            </w:r>
          </w:p>
        </w:tc>
        <w:tc>
          <w:tcPr>
            <w:tcW w:type="dxa" w:w="30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Revenue “slipped only about 2%”</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Verified years: −5.6% nominal and −13.1% real in 2024 after 8.6% inflation [4]</w:t>
            </w:r>
          </w:p>
        </w:tc>
        <w:tc>
          <w:tcPr>
            <w:tcW w:type="dxa" w:w="22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Qualified: the real fall is larger than the nominal one</w:t>
            </w:r>
          </w:p>
        </w:tc>
      </w:tr>
      <w:tr>
        <w:trPr>
          <w:cantSplit/>
          <w:tblHeader w:val="false"/>
        </w:trPr>
        <w:tc>
          <w:tcPr>
            <w:tcW w:type="dxa" w:w="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4</w:t>
            </w:r>
          </w:p>
        </w:tc>
        <w:tc>
          <w:tcPr>
            <w:tcW w:type="dxa" w:w="30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“The sharp fall from 2016 to 2019 suggests thin margins” (12.27% and 1.18%)</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Net profit is “no data” in both recent rankings [1], [2]; the two margins come from rankings published 7–10 years ago [13]</w:t>
            </w:r>
          </w:p>
        </w:tc>
        <w:tc>
          <w:tcPr>
            <w:tcW w:type="dxa" w:w="22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Rejected: profitability is a data gap, not a trend</w:t>
            </w:r>
          </w:p>
        </w:tc>
      </w:tr>
      <w:tr>
        <w:trPr>
          <w:cantSplit/>
          <w:tblHeader w:val="false"/>
        </w:trPr>
        <w:tc>
          <w:tcPr>
            <w:tcW w:type="dxa" w:w="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5</w:t>
            </w:r>
          </w:p>
        </w:tc>
        <w:tc>
          <w:tcPr>
            <w:tcW w:type="dxa" w:w="30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Growth and revenue-per-employee arithmetic; headcount change “cannot be attributed to any technology”</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Recalculated independently: identical to two decimals (for example 453,130 ÷ 9,599 = 47.21)</w:t>
            </w:r>
          </w:p>
        </w:tc>
        <w:tc>
          <w:tcPr>
            <w:tcW w:type="dxa" w:w="22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Agreed: no correction needed</w:t>
            </w:r>
          </w:p>
        </w:tc>
      </w:tr>
    </w:tbl>
    <w:p>
      <w:pPr>
        <w:spacing w:after="60" w:before="0" w:line="276"/>
        <w:jc w:val="left"/>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b/>
          <w:bCs/>
          <w:sz w:val="24"/>
          <w:szCs w:val="24"/>
        </w:rPr>
        <w:t xml:space="preserve">Where human judgment was and was not required. </w:t>
      </w:r>
      <w:r>
        <w:rPr>
          <w:rFonts w:ascii="Times New Roman" w:cs="Times New Roman" w:eastAsia="Times New Roman" w:hAnsi="Times New Roman"/>
          <w:sz w:val="24"/>
          <w:szCs w:val="24"/>
        </w:rPr>
        <w:t xml:space="preserve">The arithmetic needed no correction. Every discrepancy concerned the period, a rounded figure, inflation or missing data, and was resolved by reading the source methodology. Scope is a further open question: Kaspi bought control of Magnum’s e-commerce business in 2023 [1]; without statements, its effect on these figures cannot be measured.</w:t>
      </w:r>
    </w:p>
    <w:p>
      <w:pPr>
        <w:pBdr>
          <w:top w:val="single" w:color="808080" w:sz="4" w:space="6"/>
          <w:bottom w:val="single" w:color="808080" w:sz="4" w:space="6"/>
        </w:pBdr>
        <w:shd w:fill="F4F4F4" w:color="auto" w:val="clear"/>
        <w:spacing w:after="160" w:before="0" w:line="240"/>
        <w:ind w:left="200" w:right="200"/>
        <w:jc w:val="left"/>
      </w:pPr>
      <w:r>
        <w:rPr>
          <w:rFonts w:ascii="Times New Roman" w:cs="Times New Roman" w:eastAsia="Times New Roman" w:hAnsi="Times New Roman"/>
          <w:sz w:val="21"/>
          <w:szCs w:val="21"/>
        </w:rPr>
        <w:t xml:space="preserve">AI-supported interpretation audited above (excerpt, as produced): “Revenue per employee rose from about 19.5 mn to 47.2 mn tenge, a sign of higher productivity, while headcount dropped about 29% from 13,509 to 9,599 between 2023 and 2025 as revenue slipped only about 2%. Profitability is visible only for 2016 (12.27%) and 2019 (1.18%), so the page cannot show whether margins have held up, though the sharp fall from 2016 to 2019 suggests thin margins. The page does not mention automation or AI at all, so the headcount reduction cannot be attributed to any technology.”</w:t>
      </w:r>
    </w:p>
    <w:p>
      <w:pPr>
        <w:pStyle w:val="Heading1"/>
        <w:keepNext/>
        <w:spacing w:after="80" w:before="240" w:line="276"/>
        <w:jc w:val="left"/>
      </w:pPr>
      <w:r>
        <w:rPr>
          <w:rFonts w:ascii="Times New Roman" w:cs="Times New Roman" w:eastAsia="Times New Roman" w:hAnsi="Times New Roman"/>
          <w:b/>
          <w:bCs/>
          <w:sz w:val="26"/>
          <w:szCs w:val="26"/>
        </w:rPr>
        <w:t xml:space="preserve">B. Week 9: Career Capability Portfolio</w:t>
      </w:r>
    </w:p>
    <w:p>
      <w:pPr>
        <w:spacing w:after="120" w:before="0" w:line="276"/>
        <w:jc w:val="both"/>
      </w:pPr>
      <w:r>
        <w:rPr>
          <w:rFonts w:ascii="Times New Roman" w:cs="Times New Roman" w:eastAsia="Times New Roman" w:hAnsi="Times New Roman"/>
          <w:sz w:val="24"/>
          <w:szCs w:val="24"/>
        </w:rPr>
        <w:t xml:space="preserve">The map places the four capability groups against the Week 4 operating model, in which Magnum’s category manager keeps final order approval and AI drafts forecasts under human review. Exposure follows the ILO’s finding that clerical work is the most exposed to generative AI [6] and the WEF’s survey of employers [7].</w:t>
      </w:r>
    </w:p>
    <w:p>
      <w:pPr>
        <w:keepNext/>
        <w:spacing w:after="80" w:before="120" w:line="276"/>
        <w:jc w:val="left"/>
      </w:pPr>
      <w:r>
        <w:rPr>
          <w:rFonts w:ascii="Times New Roman" w:cs="Times New Roman" w:eastAsia="Times New Roman" w:hAnsi="Times New Roman"/>
          <w:b/>
          <w:bCs/>
          <w:sz w:val="22"/>
          <w:szCs w:val="22"/>
        </w:rPr>
        <w:t xml:space="preserve">Table B1 · Capabilities by task in the Week 4 operating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1"/>
        <w:gridCol w:w="1374"/>
        <w:gridCol w:w="1635"/>
        <w:gridCol w:w="1504"/>
        <w:gridCol w:w="1374"/>
        <w:gridCol w:w="1438"/>
      </w:tblGrid>
      <w:tr>
        <w:trPr>
          <w:cantSplit/>
          <w:tblHeader/>
        </w:trPr>
        <w:tc>
          <w:tcPr>
            <w:tcW w:type="dxa" w:w="170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Week 4 task</w:t>
            </w:r>
          </w:p>
        </w:tc>
        <w:tc>
          <w:tcPr>
            <w:tcW w:type="dxa" w:w="13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Human</w:t>
            </w:r>
          </w:p>
        </w:tc>
        <w:tc>
          <w:tcPr>
            <w:tcW w:type="dxa" w:w="16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Business</w:t>
            </w:r>
          </w:p>
        </w:tc>
        <w:tc>
          <w:tcPr>
            <w:tcW w:type="dxa" w:w="15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Digital</w:t>
            </w:r>
          </w:p>
        </w:tc>
        <w:tc>
          <w:tcPr>
            <w:tcW w:type="dxa" w:w="13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Meta</w:t>
            </w:r>
          </w:p>
        </w:tc>
        <w:tc>
          <w:tcPr>
            <w:tcW w:type="dxa" w:w="14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line="240"/>
              <w:jc w:val="left"/>
            </w:pPr>
            <w:r>
              <w:rPr>
                <w:rFonts w:ascii="Times New Roman" w:cs="Times New Roman" w:eastAsia="Times New Roman" w:hAnsi="Times New Roman"/>
                <w:b/>
                <w:bCs/>
                <w:sz w:val="19"/>
                <w:szCs w:val="19"/>
              </w:rPr>
              <w:t xml:space="preserve">Value for a graduate</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Human Only: approve the final order</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Accountability; supplier negotiation</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Budget, margin and shelf life; reading ratios</w:t>
            </w:r>
          </w:p>
        </w:tc>
        <w:tc>
          <w:tcPr>
            <w:tcW w:type="dxa" w:w="15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Forecast-error dashboards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Deciding under uncertainty and explaining it</w:t>
            </w:r>
          </w:p>
        </w:tc>
        <w:tc>
          <w:tcPr>
            <w:tcW w:type="dxa" w:w="14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High: authority stays with a named person</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Human + AI: interpret promotions and unusual demand</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Store knowledge; communication</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Promotion economics: the deepest discount is not the most useful</w:t>
            </w:r>
          </w:p>
        </w:tc>
        <w:tc>
          <w:tcPr>
            <w:tcW w:type="dxa" w:w="15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Challenging model output</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Noticing when the model is wrong</w:t>
            </w:r>
          </w:p>
        </w:tc>
        <w:tc>
          <w:tcPr>
            <w:tcW w:type="dxa" w:w="14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High, and rises as AI output grows</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AI Executes with Human Review: draft forecasts and quantities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Attention to detail</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Supplier lead times and minimum orders</w:t>
            </w:r>
          </w:p>
        </w:tc>
        <w:tc>
          <w:tcPr>
            <w:tcW w:type="dxa" w:w="15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Spreadsheet and data checks (period, rounding, inflation, scope)</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Verification habit</w:t>
            </w:r>
          </w:p>
        </w:tc>
        <w:tc>
          <w:tcPr>
            <w:tcW w:type="dxa" w:w="14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Drafting shrinks, reviewing grows: fewer, better-prepared juniors</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Automated: data checks and approval logs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Process ownership</w:t>
            </w:r>
          </w:p>
        </w:tc>
        <w:tc>
          <w:tcPr>
            <w:tcW w:type="dxa" w:w="15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Data-quality rules and logs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Governance (approval log)</w:t>
            </w:r>
          </w:p>
        </w:tc>
        <w:tc>
          <w:tcPr>
            <w:tcW w:type="dxa" w:w="14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Low in execution, moderate in design</w:t>
            </w:r>
          </w:p>
        </w:tc>
      </w:tr>
      <w:tr>
        <w:trPr>
          <w:cantSplit/>
          <w:tblHeader w:val="false"/>
        </w:trPr>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Store customer service, where Carrefour redeploys staff [10]</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Empathy; Kazakh and Russian</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Service recovery</w:t>
            </w:r>
          </w:p>
        </w:tc>
        <w:tc>
          <w:tcPr>
            <w:tcW w:type="dxa" w:w="15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In-store systems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Resilience</w:t>
            </w:r>
          </w:p>
        </w:tc>
        <w:tc>
          <w:tcPr>
            <w:tcW w:type="dxa" w:w="14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line="240"/>
              <w:jc w:val="left"/>
            </w:pPr>
            <w:r>
              <w:rPr>
                <w:rFonts w:ascii="Times New Roman" w:cs="Times New Roman" w:eastAsia="Times New Roman" w:hAnsi="Times New Roman"/>
                <w:b w:val="false"/>
                <w:bCs w:val="false"/>
                <w:sz w:val="19"/>
                <w:szCs w:val="19"/>
              </w:rPr>
              <w:t xml:space="preserve">Stable: human interaction shows no substitution potential [7]</w:t>
            </w:r>
          </w:p>
        </w:tc>
      </w:tr>
    </w:tbl>
    <w:p>
      <w:pPr>
        <w:spacing w:after="60" w:before="0" w:line="276"/>
        <w:jc w:val="left"/>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b/>
          <w:bCs/>
          <w:sz w:val="24"/>
          <w:szCs w:val="24"/>
        </w:rPr>
        <w:t xml:space="preserve">Workforce implication. </w:t>
      </w:r>
      <w:r>
        <w:rPr>
          <w:rFonts w:ascii="Times New Roman" w:cs="Times New Roman" w:eastAsia="Times New Roman" w:hAnsi="Times New Roman"/>
          <w:sz w:val="24"/>
          <w:szCs w:val="24"/>
        </w:rPr>
        <w:t xml:space="preserve">The most exposed entry task is drafting numbers and reports. The capabilities that keep their value are approving, interpreting and verifying, which is where the essay locates the graduate’s value. Development priorities for a graduate entering this model: ratio and margin literacy, data checking and explaining a decision to a manager.</w:t>
      </w:r>
    </w:p>
    <w:p>
      <w:pPr>
        <w:pStyle w:val="Heading1"/>
        <w:keepNext/>
        <w:spacing w:after="80" w:before="240" w:line="276"/>
        <w:jc w:val="left"/>
      </w:pPr>
      <w:r>
        <w:rPr>
          <w:rFonts w:ascii="Times New Roman" w:cs="Times New Roman" w:eastAsia="Times New Roman" w:hAnsi="Times New Roman"/>
          <w:b/>
          <w:bCs/>
          <w:sz w:val="26"/>
          <w:szCs w:val="26"/>
        </w:rPr>
        <w:t xml:space="preserve">C. AI-use declaration</w:t>
      </w:r>
    </w:p>
    <w:p>
      <w:pPr>
        <w:spacing w:after="120" w:before="0" w:line="276"/>
        <w:jc w:val="both"/>
      </w:pPr>
      <w:r>
        <w:rPr>
          <w:rFonts w:ascii="Times New Roman" w:cs="Times New Roman" w:eastAsia="Times New Roman" w:hAnsi="Times New Roman"/>
          <w:sz w:val="24"/>
          <w:szCs w:val="24"/>
        </w:rPr>
        <w:t xml:space="preserve">The AI-use declaration is submitted as a separate file.</w:t>
      </w:r>
    </w:p>
    <w:p>
      <w:pPr>
        <w:spacing w:after="120" w:before="0" w:line="240"/>
        <w:jc w:val="left"/>
      </w:pPr>
      <w:r>
        <w:rPr>
          <w:rFonts w:ascii="Times New Roman" w:cs="Times New Roman" w:eastAsia="Times New Roman" w:hAnsi="Times New Roman"/>
          <w:i/>
          <w:iCs/>
          <w:sz w:val="20"/>
          <w:szCs w:val="20"/>
        </w:rPr>
        <w:t xml:space="preserve">Source numbers refer to the essay’s reference list.</w:t>
      </w:r>
    </w:p>
    <w:p>
      <w:pPr>
        <w:pStyle w:val="Heading1"/>
        <w:keepNext/>
        <w:spacing w:after="80" w:before="240" w:line="276"/>
        <w:jc w:val="left"/>
      </w:pPr>
      <w:r>
        <w:rPr>
          <w:rFonts w:ascii="Times New Roman" w:cs="Times New Roman" w:eastAsia="Times New Roman" w:hAnsi="Times New Roman"/>
          <w:b/>
          <w:bCs/>
          <w:sz w:val="26"/>
          <w:szCs w:val="26"/>
        </w:rPr>
        <w:t xml:space="preserve">References</w:t>
      </w:r>
    </w:p>
    <w:p>
      <w:pPr>
        <w:spacing w:after="80" w:before="0" w:line="276"/>
        <w:jc w:val="left"/>
      </w:pPr>
      <w:r>
        <w:rPr>
          <w:rFonts w:ascii="Times New Roman" w:cs="Times New Roman" w:eastAsia="Times New Roman" w:hAnsi="Times New Roman"/>
          <w:i/>
          <w:iCs/>
          <w:sz w:val="20"/>
          <w:szCs w:val="20"/>
        </w:rPr>
        <w:t xml:space="preserve">Numbered as in the essay.</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Forbes Kazakhstan, “75 крупнейших частных компаний Казахстана — 2025,” Forbes.kz, Dec. 8, 2025. [Online]. Available: https://forbes.kz/articles/75-krupneyshih-chastnyh-kompaniy-kazahstana-2025-0c8cc0</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Forbes Kazakhstan, “75 крупнейших частных компаний Казахстана,” Forbes.kz, Dec. 11, 2024. [Online]. Available: https://forbes.kz/articles/75-krupneyshih-chastnyh-kompaniy-kazahstana-b6bc9f</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Magnum Cash&amp;Carry, “Magnum HR,” careers website, n.d. Accessed: Oct. 24, 2026. [Online]. Available: https://hr.magnum.kz/</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BES.media, “8,6 вместо 6–8%: инфляция в Казахстане превысила ожидания,” Jan. 5, 2025. [Online]. Available: https://bes.media/news/86-vmesto-6-8-inflyatsiya-v-kazahstane-previsila-ozhidaniya/</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L. J. Gitman et al., Introduction to Business, 2nd ed. Houston, TX, USA: OpenStax, 2026, secs. 8.4, 9.8 and 14.7. [Online]. Available: https://openstax.org/details/books/introduction-business-2e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P. Gmyrek et al., “Generative AI and jobs: A refined global index of occupational exposure,” International Labour Organization, Geneva, Switzerland, Working Paper 140, May 2025. [Online]. Available: https://www.ilo.org/publications/generative-ai-and-jobs-refined-global-index-occupational-exposure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World Economic Forum, “The Future of Jobs Report 2025,” Geneva, Switzerland, Jan. 2025. [Online]. Available: https://www.weforum.org/publications/the-future-of-jobs-report-2025/digest/</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24.kz, “Базовый курс по ИИ завершили около 650 тысяч казахстанских студентов,” May 16, 2025. [Online]. Available: https://24.kz/ru/news/obrazovanie-i-nauka/710483-bazovyj-kurs-po-ii-zavershili-okolo-650-tysyach-kazakhstanskikh-studentov</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S. Lauchlan, “How Carrefour is following Walmart’s lead as its 2030 AI-enabled transformation kicks in,” diginomica, Feb. 23, 2026. [Online]. Available: https://diginomica.com/how-carrefour-following-walmarts-lead-its-2030-ai-enabled-transformation-kicks</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Vusion and Carrefour, “Carrefour and Vusion join forces to deploy the smart store at scale,” press release, Feb. 18, 2026. [Online]. Available: https://echanges.dila.gouv.fr/OPENDATA/AMF/ACT/2026/02/FCACT078336_20260218.pdf</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Republic of Kazakhstan, “On Artificial Intelligence,” Law No. 230-VIII, Nov. 17, 2025. [Online]. Available: https://adilet.zan.kz/rus/docs/Z2500000230</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E. Brynjolfsson, B. Chandar and R. Chen, “Canaries in the coal mine? Six facts about the recent employment effects of artificial intelligence,” Stanford Digital Economy Lab, Stanford, CA, USA, working paper, rev. Aug. 2026. [Online]. Available: https://digitaleconomy.stanford.edu/publication/canaries-in-the-coal-mine/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Forbes Kazakhstan, “Magnum Cash&amp;Carry,” company profile, n.d. Accessed: Oct. 24, 2026. [Online]. Available: https://forbes.kz/ranking/object/847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Appendix</dc:title>
  <dc:creator>Kniazev Daniil</dc:creator>
  <cp:lastModifiedBy>Kniazev Daniil</cp:lastModifiedBy>
  <cp:revision>1</cp:revision>
  <dcterms:created xsi:type="dcterms:W3CDTF">2026-10-24T18:52:11.974Z</dcterms:created>
  <dcterms:modified xsi:type="dcterms:W3CDTF">2026-10-24T18:52:11.974Z</dcterms:modified>
</cp:coreProperties>
</file>

<file path=docProps/custom.xml><?xml version="1.0" encoding="utf-8"?>
<Properties xmlns="http://schemas.openxmlformats.org/officeDocument/2006/custom-properties" xmlns:vt="http://schemas.openxmlformats.org/officeDocument/2006/docPropsVTypes"/>
</file>