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left"/>
      </w:pPr>
      <w:r>
        <w:rPr>
          <w:rFonts w:ascii="Times New Roman" w:cs="Times New Roman" w:eastAsia="Times New Roman" w:hAnsi="Times New Roman"/>
          <w:sz w:val="20"/>
          <w:szCs w:val="20"/>
        </w:rPr>
        <w:t xml:space="preserve">Astana IT University · Business Administration · 2nd attestation</w:t>
      </w:r>
    </w:p>
    <w:p>
      <w:pPr>
        <w:spacing w:after="60" w:before="0" w:line="240"/>
        <w:jc w:val="left"/>
      </w:pPr>
      <w:r>
        <w:rPr>
          <w:rFonts w:ascii="Times New Roman" w:cs="Times New Roman" w:eastAsia="Times New Roman" w:hAnsi="Times New Roman"/>
          <w:b/>
          <w:bCs/>
          <w:sz w:val="32"/>
          <w:szCs w:val="32"/>
        </w:rPr>
        <w:t xml:space="preserve">Argumentative Essay: AI and the Value of Business Graduates</w:t>
      </w:r>
    </w:p>
    <w:p>
      <w:pPr>
        <w:spacing w:after="120" w:before="0" w:line="276"/>
        <w:jc w:val="left"/>
      </w:pPr>
      <w:r>
        <w:rPr>
          <w:rFonts w:ascii="Times New Roman" w:cs="Times New Roman" w:eastAsia="Times New Roman" w:hAnsi="Times New Roman"/>
          <w:i/>
          <w:iCs/>
          <w:sz w:val="24"/>
          <w:szCs w:val="24"/>
        </w:rPr>
        <w:t xml:space="preserve">“AI will make business graduates more valuable, not less valuable.” Discuss critically.</w:t>
      </w:r>
    </w:p>
    <w:p>
      <w:pPr>
        <w:spacing w:after="40" w:before="0" w:line="276"/>
        <w:jc w:val="left"/>
      </w:pPr>
      <w:r>
        <w:rPr>
          <w:rFonts w:ascii="Times New Roman" w:cs="Times New Roman" w:eastAsia="Times New Roman" w:hAnsi="Times New Roman"/>
          <w:sz w:val="24"/>
          <w:szCs w:val="24"/>
        </w:rPr>
        <w:t xml:space="preserve">Kniazev Daniil · Group AIB-2602 · 25 October 2026</w:t>
      </w:r>
    </w:p>
    <w:p>
      <w:pPr>
        <w:spacing w:after="40" w:before="0" w:line="276"/>
        <w:jc w:val="left"/>
      </w:pPr>
      <w:r>
        <w:rPr>
          <w:rFonts w:ascii="Times New Roman" w:cs="Times New Roman" w:eastAsia="Times New Roman" w:hAnsi="Times New Roman"/>
          <w:sz w:val="24"/>
          <w:szCs w:val="24"/>
        </w:rPr>
        <w:t xml:space="preserve">Company A: Carrefour · Company B: Magnum Cash&amp;Carry</w:t>
      </w:r>
    </w:p>
    <w:p>
      <w:pPr>
        <w:pBdr>
          <w:bottom w:val="single" w:color="000000" w:sz="6" w:space="4"/>
        </w:pBdr>
        <w:spacing w:after="200" w:before="0" w:line="276"/>
        <w:jc w:val="left"/>
      </w:pPr>
      <w:r>
        <w:rPr>
          <w:rFonts w:ascii="Times New Roman" w:cs="Times New Roman" w:eastAsia="Times New Roman" w:hAnsi="Times New Roman"/>
          <w:sz w:val="22"/>
          <w:szCs w:val="22"/>
        </w:rPr>
        <w:t xml:space="preserve">Word count: 915 (excluding title block, references and appendix)</w:t>
      </w:r>
    </w:p>
    <w:p>
      <w:pPr>
        <w:pStyle w:val="Heading1"/>
        <w:keepNext/>
        <w:spacing w:after="80" w:before="240" w:line="276"/>
        <w:jc w:val="left"/>
      </w:pPr>
      <w:r>
        <w:rPr>
          <w:rFonts w:ascii="Times New Roman" w:cs="Times New Roman" w:eastAsia="Times New Roman" w:hAnsi="Times New Roman"/>
          <w:b/>
          <w:bCs/>
          <w:sz w:val="26"/>
          <w:szCs w:val="26"/>
        </w:rPr>
        <w:t xml:space="preserve">Position</w:t>
      </w:r>
    </w:p>
    <w:p>
      <w:pPr>
        <w:spacing w:after="120" w:before="0" w:line="276"/>
        <w:jc w:val="both"/>
      </w:pPr>
      <w:r>
        <w:rPr>
          <w:rFonts w:ascii="Times New Roman" w:cs="Times New Roman" w:eastAsia="Times New Roman" w:hAnsi="Times New Roman"/>
          <w:sz w:val="24"/>
          <w:szCs w:val="24"/>
        </w:rPr>
        <w:t xml:space="preserve">I agree with the claim only in a qualified form. AI will make business graduates more valuable to Magnum Cash&amp;Carry if they can verify, interpret and take responsibility for what AI produces; it will make them less valuable if they only produce routine numbers and reports, because that is the part AI already does well. My Week 8 ratio audit and Week 9 capability map point the same way: value moves from producing analysis to judging it. The cost, which the counterargument presses, is that this may mean fewer graduate jobs, each demanding more.</w:t>
      </w:r>
    </w:p>
    <w:p>
      <w:pPr>
        <w:pStyle w:val="Heading1"/>
        <w:keepNext/>
        <w:spacing w:after="80" w:before="240" w:line="276"/>
        <w:jc w:val="left"/>
      </w:pPr>
      <w:r>
        <w:rPr>
          <w:rFonts w:ascii="Times New Roman" w:cs="Times New Roman" w:eastAsia="Times New Roman" w:hAnsi="Times New Roman"/>
          <w:b/>
          <w:bCs/>
          <w:sz w:val="26"/>
          <w:szCs w:val="26"/>
        </w:rPr>
        <w:t xml:space="preserve">Ground 1: financial evidence</w:t>
      </w:r>
    </w:p>
    <w:p>
      <w:pPr>
        <w:spacing w:after="120" w:before="0" w:line="276"/>
        <w:jc w:val="both"/>
      </w:pPr>
      <w:r>
        <w:rPr>
          <w:rFonts w:ascii="Times New Roman" w:cs="Times New Roman" w:eastAsia="Times New Roman" w:hAnsi="Times New Roman"/>
          <w:sz w:val="24"/>
          <w:szCs w:val="24"/>
        </w:rPr>
        <w:t xml:space="preserve">Magnum is a private partnership and publishes no balance sheet or income statement that I could find, so my Week 8 ratios rest on Forbes Kazakhstan’s rankings of the largest private companies [1], [2]. Revenue per employee in 2024 was 47.2 million tenge (453.13 billion tenge divided by 9,599 employees), verified against the 2025 ranking’s methodology, which states that it uses 2024 revenue [1]. An AI-supported interpretation of the same data got every calculation right, and my independent calculation matched it to two decimals (Appendix A). Its problems were judgments. It compared ranking years instead of fiscal years. It read the rise in revenue per employee as “a sign of higher productivity”, although its largest jump, 40% in one year, falls in 2023, whose headcount is a round 10,000, the figure Magnum’s careers site uses [3]. It said revenue had “slipped only about 2%”, whereas the verified years show a 5.6% nominal fall, about 13% in real terms after 8.6% inflation [4]. It inferred “thin margins” from profits published in 2016 and 2019. The course text presents ratios as a way to compare firms and periods [5]; choosing a valid comparison was the human part. Calculation needed no human; deciding which number to trust did.</w:t>
      </w:r>
    </w:p>
    <w:p>
      <w:pPr>
        <w:pStyle w:val="Heading1"/>
        <w:keepNext/>
        <w:spacing w:after="80" w:before="240" w:line="276"/>
        <w:jc w:val="left"/>
      </w:pPr>
      <w:r>
        <w:rPr>
          <w:rFonts w:ascii="Times New Roman" w:cs="Times New Roman" w:eastAsia="Times New Roman" w:hAnsi="Times New Roman"/>
          <w:b/>
          <w:bCs/>
          <w:sz w:val="26"/>
          <w:szCs w:val="26"/>
        </w:rPr>
        <w:t xml:space="preserve">Ground 2: organizational and workforce evidence</w:t>
      </w:r>
    </w:p>
    <w:p>
      <w:pPr>
        <w:spacing w:after="120" w:before="0" w:line="276"/>
        <w:jc w:val="both"/>
      </w:pPr>
      <w:r>
        <w:rPr>
          <w:rFonts w:ascii="Times New Roman" w:cs="Times New Roman" w:eastAsia="Times New Roman" w:hAnsi="Times New Roman"/>
          <w:sz w:val="24"/>
          <w:szCs w:val="24"/>
        </w:rPr>
        <w:t xml:space="preserve">The Week 9 capability map tests the same idea against the operating model I designed in Week 4 (Appendix B). That model keeps final order approval with Magnum’s category manager, has staff and AI interpret promotions together, and gives AI the drafting of forecasts and order quantities under human review. Drafting is the kind of task international evidence finds most exposed: clerical work has the highest exposure to generative AI, although the ILO expects transformation rather than replacement [6]. What remains is approval, interpretation and review, which draw on business and meta-capabilities: margin literacy, knowing when a model is wrong, and accountability for a commitment. Seven in ten employers already treat analytical thinking as essential [7]. In Kazakhstan, basic AI skill is becoming common rather than scarce: about 650,000 students completed AI-Sana’s introductory course in its first stage [8]. A graduate’s advantage at Magnum is therefore not using AI but checking it against Magnum’s suppliers, promotions and budgets, the knowledge-worker role the course text describes [5]. Magnum’s entry route fits this: it says it trains new staff itself and runs Magnum Start for students and graduates [3], so it hires people to develop rather than finished specialists.</w:t>
      </w:r>
    </w:p>
    <w:p>
      <w:pPr>
        <w:pStyle w:val="Heading1"/>
        <w:keepNext/>
        <w:spacing w:after="80" w:before="240" w:line="276"/>
        <w:jc w:val="left"/>
      </w:pPr>
      <w:r>
        <w:rPr>
          <w:rFonts w:ascii="Times New Roman" w:cs="Times New Roman" w:eastAsia="Times New Roman" w:hAnsi="Times New Roman"/>
          <w:b/>
          <w:bCs/>
          <w:sz w:val="26"/>
          <w:szCs w:val="26"/>
        </w:rPr>
        <w:t xml:space="preserve">Ground 3: comparative evidence</w:t>
      </w:r>
    </w:p>
    <w:p>
      <w:pPr>
        <w:spacing w:after="120" w:before="0" w:line="276"/>
        <w:jc w:val="both"/>
      </w:pPr>
      <w:r>
        <w:rPr>
          <w:rFonts w:ascii="Times New Roman" w:cs="Times New Roman" w:eastAsia="Times New Roman" w:hAnsi="Times New Roman"/>
          <w:sz w:val="24"/>
          <w:szCs w:val="24"/>
        </w:rPr>
        <w:t xml:space="preserve">Carrefour shows what AI at scale does to roles. It deployed Gemini to 250,000 employees in 2025 and uses AI agents in central functions such as sales forecasting and contract management [9]. Its stated aim with Vusion is to automate low value-added tasks and redeploy teams towards customer service [10]. The pattern is redistribution: routine work leaves, while judgment and service work stay. That logic transfers to Kazakhstan, but the scale does not. Carrefour’s integrated stores employ over 300,000 people [10]; Magnum has 9,599 employees and a real revenue fall to absorb [1], [4]. In a firm that size, the person who checks AI output is often the one who must defend it to a manager, and since November 2025 Kazakhstan has an AI Law regulating how such systems are used [11].</w:t>
      </w:r>
    </w:p>
    <w:p>
      <w:pPr>
        <w:pStyle w:val="Heading1"/>
        <w:keepNext/>
        <w:spacing w:after="80" w:before="240" w:line="276"/>
        <w:jc w:val="left"/>
      </w:pPr>
      <w:r>
        <w:rPr>
          <w:rFonts w:ascii="Times New Roman" w:cs="Times New Roman" w:eastAsia="Times New Roman" w:hAnsi="Times New Roman"/>
          <w:b/>
          <w:bCs/>
          <w:sz w:val="26"/>
          <w:szCs w:val="26"/>
        </w:rPr>
        <w:t xml:space="preserve">Counterargument</w:t>
      </w:r>
    </w:p>
    <w:p>
      <w:pPr>
        <w:spacing w:after="120" w:before="0" w:line="276"/>
        <w:jc w:val="both"/>
      </w:pPr>
      <w:r>
        <w:rPr>
          <w:rFonts w:ascii="Times New Roman" w:cs="Times New Roman" w:eastAsia="Times New Roman" w:hAnsi="Times New Roman"/>
          <w:sz w:val="24"/>
          <w:szCs w:val="24"/>
        </w:rPr>
        <w:t xml:space="preserve">The strongest case against my position is that AI removes the junior tasks through which graduates are hired and trained. Payroll data for millions of US workers show employment of 22–25-year-olds in AI-exposed occupations 19% below where it would be had it kept pace with less-exposed peers, mainly through reduced hiring, while experienced workers show no comparable gap [12]. Magnum seems to fit: Forbes’s profile lists headcount falling from 13,509 to 9,599 between the 2023 and 2025 rankings while revenue held [13]. If AI drafts forecasts in my own operating model, the junior analyst who drafted them is no longer needed, and the value goes to experienced managers.</w:t>
      </w:r>
    </w:p>
    <w:p>
      <w:pPr>
        <w:spacing w:after="120" w:before="0" w:line="276"/>
        <w:jc w:val="both"/>
      </w:pPr>
      <w:r>
        <w:rPr>
          <w:rFonts w:ascii="Times New Roman" w:cs="Times New Roman" w:eastAsia="Times New Roman" w:hAnsi="Times New Roman"/>
          <w:sz w:val="24"/>
          <w:szCs w:val="24"/>
        </w:rPr>
        <w:t xml:space="preserve">Part of this stands. Yet the same study finds the decline concentrated where AI automates work rather than complements it [12], and my map places graduate value in complementary tasks. Magnum’s headcount fall cannot be attributed to AI: the 13,509 figure could not be checked against a methodology, the 2023 count is rounded, and Kaspi bought control of Magnum’s e-commerce business in 2023 [1]. What survives is narrower: AI may raise the value of each graduate while reducing the number of graduate jobs.</w:t>
      </w:r>
    </w:p>
    <w:p>
      <w:pPr>
        <w:pStyle w:val="Heading1"/>
        <w:keepNext/>
        <w:spacing w:after="80" w:before="240" w:line="276"/>
        <w:jc w:val="left"/>
      </w:pPr>
      <w:r>
        <w:rPr>
          <w:rFonts w:ascii="Times New Roman" w:cs="Times New Roman" w:eastAsia="Times New Roman" w:hAnsi="Times New Roman"/>
          <w:b/>
          <w:bCs/>
          <w:sz w:val="26"/>
          <w:szCs w:val="26"/>
        </w:rPr>
        <w:t xml:space="preserve">Conclusion</w:t>
      </w:r>
    </w:p>
    <w:p>
      <w:pPr>
        <w:spacing w:after="120" w:before="0" w:line="276"/>
        <w:jc w:val="both"/>
      </w:pPr>
      <w:r>
        <w:rPr>
          <w:rFonts w:ascii="Times New Roman" w:cs="Times New Roman" w:eastAsia="Times New Roman" w:hAnsi="Times New Roman"/>
          <w:sz w:val="24"/>
          <w:szCs w:val="24"/>
        </w:rPr>
        <w:t xml:space="preserve">AI will make business graduates more valuable to Magnum on one condition: that they bring the verification and judgment that AI output lacks. Week 8 showed AI right on arithmetic and wrong on meaning; Week 9 showed that Magnum’s operating model keeps exactly those judgments with people. I would change my mind if Magnum’s own figures showed AI-assisted reporting needing no human correction over several reporting periods, or if graduate employment in Kazakhstan’s business occupations began to fall as young workers’ employment has in AI-exposed US occupations. Either would mean the judgment layer is shrinking too.</w:t>
      </w:r>
    </w:p>
    <w:p>
      <w:pPr>
        <w:pStyle w:val="Heading1"/>
        <w:keepNext/>
        <w:spacing w:after="80" w:before="240" w:line="276"/>
        <w:jc w:val="left"/>
      </w:pPr>
      <w:r>
        <w:rPr>
          <w:rFonts w:ascii="Times New Roman" w:cs="Times New Roman" w:eastAsia="Times New Roman" w:hAnsi="Times New Roman"/>
          <w:b/>
          <w:bCs/>
          <w:sz w:val="26"/>
          <w:szCs w:val="26"/>
        </w:rPr>
        <w:t xml:space="preserve">References</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Forbes Kazakhstan, “75 крупнейших частных компаний Казахстана — 2025,” Forbes.kz, Dec. 8, 2025. [Online]. Available: https://forbes.kz/articles/75-krupneyshih-chastnyh-kompaniy-kazahstana-2025-0c8cc0</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Forbes Kazakhstan, “75 крупнейших частных компаний Казахстана,” Forbes.kz, Dec. 11, 2024. [Online]. Available: https://forbes.kz/articles/75-krupneyshih-chastnyh-kompaniy-kazahstana-b6bc9f</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Magnum Cash&amp;Carry, “Magnum HR,” careers website, n.d. Accessed: Oct. 24, 2026. [Online]. Available: https://hr.magnum.kz/</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BES.media, “8,6 вместо 6–8%: инфляция в Казахстане превысила ожидания,” Jan. 5, 2025. [Online]. Available: https://bes.media/news/86-vmesto-6-8-inflyatsiya-v-kazahstane-previsila-ozhidaniya/</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L. J. Gitman et al., Introduction to Business, 2nd ed. Houston, TX, USA: OpenStax, 2026, secs. 8.4, 9.8 and 14.7. [Online]. Available: https://openstax.org/details/books/introduction-business-2e</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P. Gmyrek et al., “Generative AI and jobs: A refined global index of occupational exposure,” International Labour Organization, Geneva, Switzerland, Working Paper 140, May 2025. [Online]. Available: https://www.ilo.org/publications/generative-ai-and-jobs-refined-global-index-occupational-exposure</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World Economic Forum, “The Future of Jobs Report 2025,” Geneva, Switzerland, Jan. 2025. [Online]. Available: https://www.weforum.org/publications/the-future-of-jobs-report-2025/digest/</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24.kz, “Базовый курс по ИИ завершили около 650 тысяч казахстанских студентов,” May 16, 2025. [Online]. Available: https://24.kz/ru/news/obrazovanie-i-nauka/710483-bazovyj-kurs-po-ii-zavershili-okolo-650-tysyach-kazakhstanskikh-studentov</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S. Lauchlan, “How Carrefour is following Walmart’s lead as its 2030 AI-enabled transformation kicks in,” diginomica, Feb. 23, 2026. [Online]. Available: https://diginomica.com/how-carrefour-following-walmarts-lead-its-2030-ai-enabled-transformation-kicks</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Vusion and Carrefour, “Carrefour and Vusion join forces to deploy the smart store at scale,” press release, Feb. 18, 2026. [Online]. Available: https://echanges.dila.gouv.fr/OPENDATA/AMF/ACT/2026/02/FCACT078336_20260218.pdf</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Republic of Kazakhstan, “On Artificial Intelligence,” Law No. 230-VIII, Nov. 17, 2025. [Online]. Available: https://adilet.zan.kz/rus/docs/Z2500000230</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E. Brynjolfsson, B. Chandar and R. Chen, “Canaries in the coal mine? Six facts about the recent employment effects of artificial intelligence,” Stanford Digital Economy Lab, Stanford, CA, USA, working paper, rev. Aug. 2026. [Online]. Available: https://digitaleconomy.stanford.edu/publication/canaries-in-the-coal-mine/</w:t>
      </w:r>
    </w:p>
    <w:p>
      <w:pPr>
        <w:tabs>
          <w:tab w:val="left" w:pos="567"/>
        </w:tabs>
        <w:spacing w:after="80" w:before="0" w:line="240"/>
        <w:ind w:left="567" w:hanging="567"/>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Forbes Kazakhstan, “Magnum Cash&amp;Carry,” company profile, n.d. Accessed: Oct. 24, 2026. [Online]. Available: https://forbes.kz/ranking/object/847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Argumentative Essay</dc:title>
  <dc:creator>Kniazev Daniil</dc:creator>
  <cp:lastModifiedBy>Kniazev Daniil</cp:lastModifiedBy>
  <cp:revision>1</cp:revision>
  <dcterms:created xsi:type="dcterms:W3CDTF">2026-10-24T18:52:11.918Z</dcterms:created>
  <dcterms:modified xsi:type="dcterms:W3CDTF">2026-10-24T18:52:11.918Z</dcterms:modified>
</cp:coreProperties>
</file>

<file path=docProps/custom.xml><?xml version="1.0" encoding="utf-8"?>
<Properties xmlns="http://schemas.openxmlformats.org/officeDocument/2006/custom-properties" xmlns:vt="http://schemas.openxmlformats.org/officeDocument/2006/docPropsVTypes"/>
</file>