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818CF6" w14:textId="77777777" w:rsidR="00992436" w:rsidRDefault="00000000">
      <w:pPr>
        <w:pStyle w:val="aa"/>
        <w:spacing w:before="120"/>
      </w:pPr>
      <w:r>
        <w:rPr>
          <w:szCs w:val="24"/>
        </w:rPr>
        <w:t>Weekly Record 8</w:t>
      </w:r>
    </w:p>
    <w:p w14:paraId="150999A7" w14:textId="77777777" w:rsidR="00992436" w:rsidRDefault="00000000">
      <w:r>
        <w:rPr>
          <w:szCs w:val="24"/>
        </w:rPr>
        <w:t>Kniazev Daniil | AIB-2602 | 25 October 2026</w:t>
      </w:r>
    </w:p>
    <w:p w14:paraId="2C585ECE" w14:textId="77777777" w:rsidR="00992436" w:rsidRDefault="00000000">
      <w:r>
        <w:rPr>
          <w:szCs w:val="24"/>
        </w:rPr>
        <w:t>Financial ratios and their verification</w:t>
      </w:r>
      <w:r>
        <w:rPr>
          <w:szCs w:val="24"/>
        </w:rPr>
        <w:br/>
        <w:t>Carrefour and Magnum Cash&amp;Carry</w:t>
      </w:r>
    </w:p>
    <w:p w14:paraId="5539D515" w14:textId="77777777" w:rsidR="00992436" w:rsidRDefault="00000000">
      <w:pPr>
        <w:pStyle w:val="1"/>
        <w:spacing w:before="120"/>
      </w:pPr>
      <w:r>
        <w:rPr>
          <w:szCs w:val="24"/>
        </w:rPr>
        <w:t>1  Concept</w:t>
      </w:r>
    </w:p>
    <w:p w14:paraId="26B07513" w14:textId="7A306842" w:rsidR="00992436" w:rsidRDefault="00000000">
      <w:r>
        <w:rPr>
          <w:szCs w:val="24"/>
        </w:rPr>
        <w:t>Accounting turns transactions into three statements. The balance sheet shows what a firm owns and owes on one date; the income statement shows revenue, expenses and profit over a period; the statement of cash flows shows where cash came from and where it went [1]. Ratio analysis is the framework for reading them: it expresses figures as proportions so that firms of different sizes, or one firm in different years, can be compared. Liquidity ratios ask whether short-term bills can be paid, profitability ratios how much of each sale becomes profit, activity ratios how efficiently assets are used, and debt ratios how much of the firm is financed by borrowing [1].</w:t>
      </w:r>
    </w:p>
    <w:p w14:paraId="26B07513" w14:textId="7A306842" w:rsidR="00992436" w:rsidRDefault="00000000">
      <w:r>
        <w:rPr>
          <w:szCs w:val="24"/>
        </w:rPr>
        <w:t>Concept Check, section 14.7: how can ratio analysis be used to interpret financial statements? A ratio is meaningful only against a benchmark: the same firm in another year, a competitor or a target. It shows where to ask questions rather than giving the answer. Debt ratios worry lenders because a heavily borrowed firm has less room to repay if sales fall.</w:t>
      </w:r>
    </w:p>
    <w:p w14:paraId="26B07513" w14:textId="7A306842" w:rsidR="00992436" w:rsidRDefault="00000000">
      <w:r>
        <w:rPr>
          <w:szCs w:val="24"/>
        </w:rPr>
        <w:t>Concept Check, section 14.8: how are automation and cloud tools changing accounting? Routine posting and calculation are increasingly automated, so the accountant’s work moves towards checking the data and explaining what the numbers mean for a decision.</w:t>
      </w:r>
    </w:p>
    <w:p w14:paraId="5539D515" w14:textId="77777777" w:rsidR="00992436" w:rsidRDefault="00000000">
      <w:pPr>
        <w:pStyle w:val="1"/>
        <w:spacing w:before="120"/>
      </w:pPr>
      <w:r>
        <w:rPr>
          <w:szCs w:val="24"/>
        </w:rPr>
        <w:t>2  Application</w:t>
      </w:r>
    </w:p>
    <w:p w14:paraId="26B07513" w14:textId="7A306842" w:rsidR="00992436" w:rsidRDefault="00000000">
      <w:r>
        <w:rPr>
          <w:szCs w:val="24"/>
        </w:rPr>
        <w:t>Magnum Cash&amp;Carry is a private partnership and, unlike Carrefour, publishes no balance sheet or income statement that I could find. Its only public financial data are Forbes Kazakhstan’s rankings of the largest private companies, which give revenue and headcount but list net profit as “no data” [31], [32]. I therefore calculated the ratios these data allow, compared them with an AI-supported interpretation of Forbes’s Magnum profile [33], and audited every difference.</w:t>
      </w:r>
    </w:p>
    <w:p w14:paraId="26B07513" w14:textId="7A306842" w:rsidR="00992436" w:rsidRDefault="00000000">
      <w:pPr>
        <w:keepNext/>
      </w:pPr>
      <w:r>
        <w:rPr>
          <w:b/>
          <w:sz w:val="20"/>
          <w:szCs w:val="24"/>
        </w:rPr>
        <w:t>Table 1 · Magnum ratios from verified public data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512"/>
        <w:gridCol w:w="1655"/>
        <w:gridCol w:w="3096"/>
      </w:tblGrid>
      <w:tr w:rsidR="00992436" w14:paraId="0A03E11B" w14:textId="77777777">
        <w:trPr>
          <w:cantSplit/>
          <w:tblHeader/>
          <w:jc w:val="center"/>
          <w:cantSplit/>
        </w:trPr>
        <w:tc>
          <w:tcPr>
            <w:tcW w:w="1800" w:type="dxa"/>
            <w:tcMar>
              <w:top w:w="95" w:type="dxa"/>
              <w:left w:w="85" w:type="dxa"/>
              <w:bottom w:w="95" w:type="dxa"/>
              <w:right w:w="85" w:type="dxa"/>
            </w:tcMar>
            <w:vAlign w:val="center"/>
          </w:tcPr>
          <w:p w14:paraId="56EAB324" w14:textId="77777777" w:rsidR="00992436" w:rsidRDefault="00000000">
            <w:pPr>
              <w:spacing w:after="40" w:line="252" w:lineRule="auto"/>
            </w:pPr>
            <w:r>
              <w:rPr>
                <w:b/>
                <w:sz w:val="20"/>
                <w:szCs w:val="20"/>
              </w:rPr>
              <w:t>Fiscal year (ranking)</w:t>
            </w:r>
          </w:p>
        </w:tc>
        <w:tc>
          <w:tcPr>
            <w:tcW w:w="1296" w:type="dxa"/>
            <w:tcMar>
              <w:top w:w="95" w:type="dxa"/>
              <w:left w:w="85" w:type="dxa"/>
              <w:bottom w:w="95" w:type="dxa"/>
              <w:right w:w="85" w:type="dxa"/>
            </w:tcMar>
            <w:vAlign w:val="center"/>
          </w:tcPr>
          <w:p w14:paraId="04E74360" w14:textId="77777777" w:rsidR="00992436" w:rsidRDefault="00000000">
            <w:pPr>
              <w:spacing w:after="40" w:line="252" w:lineRule="auto"/>
            </w:pPr>
            <w:r>
              <w:rPr>
                <w:b/>
                <w:sz w:val="20"/>
                <w:szCs w:val="20"/>
              </w:rPr>
              <w:t>Revenue, bn ₸</w:t>
            </w:r>
          </w:p>
        </w:tc>
        <w:tc>
          <w:tcPr>
            <w:tcW w:w="1512" w:type="dxa"/>
            <w:tcMar>
              <w:top w:w="95" w:type="dxa"/>
              <w:left w:w="85" w:type="dxa"/>
              <w:bottom w:w="95" w:type="dxa"/>
              <w:right w:w="85" w:type="dxa"/>
            </w:tcMar>
            <w:vAlign w:val="center"/>
          </w:tcPr>
          <w:p w14:paraId="37105E71" w14:textId="77777777" w:rsidR="00992436" w:rsidRDefault="00000000">
            <w:pPr>
              <w:spacing w:after="40" w:line="252" w:lineRule="auto"/>
            </w:pPr>
            <w:r>
              <w:rPr>
                <w:b/>
                <w:sz w:val="20"/>
                <w:szCs w:val="20"/>
              </w:rPr>
              <w:t>Employees</w:t>
            </w:r>
          </w:p>
        </w:tc>
        <w:tc>
          <w:tcPr>
            <w:tcW w:w="1656" w:type="dxa"/>
            <w:tcMar>
              <w:top w:w="95" w:type="dxa"/>
              <w:left w:w="85" w:type="dxa"/>
              <w:bottom w:w="95" w:type="dxa"/>
              <w:right w:w="85" w:type="dxa"/>
            </w:tcMar>
            <w:vAlign w:val="center"/>
          </w:tcPr>
          <w:p w14:paraId="37105E71" w14:textId="77777777" w:rsidR="00992436" w:rsidRDefault="00000000">
            <w:pPr>
              <w:spacing w:after="40" w:line="252" w:lineRule="auto"/>
            </w:pPr>
            <w:r>
              <w:rPr>
                <w:b/>
                <w:sz w:val="20"/>
                <w:szCs w:val="20"/>
              </w:rPr>
              <w:t>Revenue per employee, m ₸</w:t>
            </w:r>
          </w:p>
        </w:tc>
        <w:tc>
          <w:tcPr>
            <w:tcW w:w="3096" w:type="dxa"/>
            <w:tcMar>
              <w:top w:w="95" w:type="dxa"/>
              <w:left w:w="85" w:type="dxa"/>
              <w:bottom w:w="95" w:type="dxa"/>
              <w:right w:w="85" w:type="dxa"/>
            </w:tcMar>
            <w:vAlign w:val="center"/>
          </w:tcPr>
          <w:p w14:paraId="37105E71" w14:textId="77777777" w:rsidR="00992436" w:rsidRDefault="00000000">
            <w:pPr>
              <w:spacing w:after="40" w:line="252" w:lineRule="auto"/>
            </w:pPr>
            <w:r>
              <w:rPr>
                <w:b/>
                <w:sz w:val="20"/>
                <w:szCs w:val="20"/>
              </w:rPr>
              <w:t>Change on previous year</w:t>
            </w:r>
          </w:p>
        </w:tc>
      </w:tr>
      <w:tr w:rsidR="00992436" w14:paraId="4D8D46F1" w14:textId="77777777">
        <w:trPr>
          <w:cantSplit/>
          <w:jc w:val="center"/>
          <w:cantSplit/>
        </w:trPr>
        <w:tc>
          <w:tcPr>
            <w:tcW w:w="1800" w:type="dxa"/>
            <w:tcMar>
              <w:top w:w="95" w:type="dxa"/>
              <w:left w:w="85" w:type="dxa"/>
              <w:bottom w:w="95" w:type="dxa"/>
              <w:right w:w="85" w:type="dxa"/>
            </w:tcMar>
            <w:vAlign w:val="center"/>
          </w:tcPr>
          <w:p w14:paraId="51DF8A4C" w14:textId="77777777" w:rsidR="00992436" w:rsidRDefault="00000000">
            <w:pPr>
              <w:spacing w:after="40" w:line="252" w:lineRule="auto"/>
            </w:pPr>
            <w:r>
              <w:rPr>
                <w:sz w:val="20"/>
                <w:szCs w:val="20"/>
              </w:rPr>
              <w:t>2023 (2024 ranking)</w:t>
            </w:r>
          </w:p>
        </w:tc>
        <w:tc>
          <w:tcPr>
            <w:tcW w:w="1296" w:type="dxa"/>
            <w:tcMar>
              <w:top w:w="95" w:type="dxa"/>
              <w:left w:w="85" w:type="dxa"/>
              <w:bottom w:w="95" w:type="dxa"/>
              <w:right w:w="85" w:type="dxa"/>
            </w:tcMar>
            <w:vAlign w:val="center"/>
          </w:tcPr>
          <w:p w14:paraId="07C95603" w14:textId="77777777" w:rsidR="00992436" w:rsidRDefault="00000000">
            <w:pPr>
              <w:spacing w:after="40" w:line="252" w:lineRule="auto"/>
            </w:pPr>
            <w:r>
              <w:rPr>
                <w:sz w:val="20"/>
                <w:szCs w:val="20"/>
              </w:rPr>
              <w:t>480.00</w:t>
            </w:r>
          </w:p>
        </w:tc>
        <w:tc>
          <w:tcPr>
            <w:tcW w:w="1512"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10,000 (rounded)</w:t>
            </w:r>
          </w:p>
        </w:tc>
        <w:tc>
          <w:tcPr>
            <w:tcW w:w="1656"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48.00</w:t>
            </w:r>
          </w:p>
        </w:tc>
        <w:tc>
          <w:tcPr>
            <w:tcW w:w="3096"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w:t>
            </w:r>
          </w:p>
        </w:tc>
      </w:tr>
      <w:tr w:rsidR="00992436" w14:paraId="4D8D46F1" w14:textId="77777777">
        <w:trPr>
          <w:cantSplit/>
          <w:jc w:val="center"/>
          <w:cantSplit/>
        </w:trPr>
        <w:tc>
          <w:tcPr>
            <w:tcW w:w="1800" w:type="dxa"/>
            <w:tcMar>
              <w:top w:w="95" w:type="dxa"/>
              <w:left w:w="85" w:type="dxa"/>
              <w:bottom w:w="95" w:type="dxa"/>
              <w:right w:w="85" w:type="dxa"/>
            </w:tcMar>
            <w:vAlign w:val="center"/>
          </w:tcPr>
          <w:p w14:paraId="51DF8A4C" w14:textId="77777777" w:rsidR="00992436" w:rsidRDefault="00000000">
            <w:pPr>
              <w:spacing w:after="40" w:line="252" w:lineRule="auto"/>
            </w:pPr>
            <w:r>
              <w:rPr>
                <w:sz w:val="20"/>
                <w:szCs w:val="20"/>
              </w:rPr>
              <w:t>2024 (2025 ranking)</w:t>
            </w:r>
          </w:p>
        </w:tc>
        <w:tc>
          <w:tcPr>
            <w:tcW w:w="1296" w:type="dxa"/>
            <w:tcMar>
              <w:top w:w="95" w:type="dxa"/>
              <w:left w:w="85" w:type="dxa"/>
              <w:bottom w:w="95" w:type="dxa"/>
              <w:right w:w="85" w:type="dxa"/>
            </w:tcMar>
            <w:vAlign w:val="center"/>
          </w:tcPr>
          <w:p w14:paraId="07C95603" w14:textId="77777777" w:rsidR="00992436" w:rsidRDefault="00000000">
            <w:pPr>
              <w:spacing w:after="40" w:line="252" w:lineRule="auto"/>
            </w:pPr>
            <w:r>
              <w:rPr>
                <w:sz w:val="20"/>
                <w:szCs w:val="20"/>
              </w:rPr>
              <w:t>453.13</w:t>
            </w:r>
          </w:p>
        </w:tc>
        <w:tc>
          <w:tcPr>
            <w:tcW w:w="1512"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9,599</w:t>
            </w:r>
          </w:p>
        </w:tc>
        <w:tc>
          <w:tcPr>
            <w:tcW w:w="1656"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47.21</w:t>
            </w:r>
          </w:p>
        </w:tc>
        <w:tc>
          <w:tcPr>
            <w:tcW w:w="3096"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Revenue −5.6% nominal, −13.1% real; headcount −4.0%</w:t>
            </w:r>
          </w:p>
        </w:tc>
      </w:tr>
    </w:tbl>
    <w:p w14:paraId="26B07513" w14:textId="7A306842" w:rsidR="00992436" w:rsidRDefault="00000000">
      <w:r>
        <w:rPr>
          <w:szCs w:val="24"/>
        </w:rPr>
        <w:t>Real change deflates 2024 revenue by 8.6% annual inflation [35]. Liquidity, profitability, activity and debt ratios cannot be calculated without a balance sheet and income statement.</w:t>
      </w:r>
    </w:p>
    <w:p w14:paraId="26B07513" w14:textId="7A306842" w:rsidR="00992436" w:rsidRDefault="00000000">
      <w:pPr>
        <w:keepNext/>
      </w:pPr>
      <w:r>
        <w:rPr>
          <w:b/>
          <w:sz w:val="20"/>
          <w:szCs w:val="24"/>
        </w:rPr>
        <w:t>Table 2 · Discrepancy audit: AI-supported interpretation against my calculation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68"/>
        <w:gridCol w:w="3744"/>
        <w:gridCol w:w="2448"/>
      </w:tblGrid>
      <w:tr w:rsidR="00992436" w14:paraId="0A03E11B" w14:textId="77777777">
        <w:trPr>
          <w:cantSplit/>
          <w:tblHeader/>
          <w:jc w:val="center"/>
          <w:cantSplit/>
        </w:trPr>
        <w:tc>
          <w:tcPr>
            <w:tcW w:w="3168" w:type="dxa"/>
            <w:tcMar>
              <w:top w:w="95" w:type="dxa"/>
              <w:left w:w="85" w:type="dxa"/>
              <w:bottom w:w="95" w:type="dxa"/>
              <w:right w:w="85" w:type="dxa"/>
            </w:tcMar>
            <w:vAlign w:val="center"/>
          </w:tcPr>
          <w:p w14:paraId="56EAB324" w14:textId="77777777" w:rsidR="00992436" w:rsidRDefault="00000000">
            <w:pPr>
              <w:spacing w:after="40" w:line="252" w:lineRule="auto"/>
            </w:pPr>
            <w:r>
              <w:rPr>
                <w:b/>
                <w:sz w:val="20"/>
                <w:szCs w:val="20"/>
              </w:rPr>
              <w:t>AI-supported interpretation</w:t>
            </w:r>
          </w:p>
        </w:tc>
        <w:tc>
          <w:tcPr>
            <w:tcW w:w="3744" w:type="dxa"/>
            <w:tcMar>
              <w:top w:w="95" w:type="dxa"/>
              <w:left w:w="85" w:type="dxa"/>
              <w:bottom w:w="95" w:type="dxa"/>
              <w:right w:w="85" w:type="dxa"/>
            </w:tcMar>
            <w:vAlign w:val="center"/>
          </w:tcPr>
          <w:p w14:paraId="04E74360" w14:textId="77777777" w:rsidR="00992436" w:rsidRDefault="00000000">
            <w:pPr>
              <w:spacing w:after="40" w:line="252" w:lineRule="auto"/>
            </w:pPr>
            <w:r>
              <w:rPr>
                <w:b/>
                <w:sz w:val="20"/>
                <w:szCs w:val="20"/>
              </w:rPr>
              <w:t>Independent check</w:t>
            </w:r>
          </w:p>
        </w:tc>
        <w:tc>
          <w:tcPr>
            <w:tcW w:w="2448" w:type="dxa"/>
            <w:tcMar>
              <w:top w:w="95" w:type="dxa"/>
              <w:left w:w="85" w:type="dxa"/>
              <w:bottom w:w="95" w:type="dxa"/>
              <w:right w:w="85" w:type="dxa"/>
            </w:tcMar>
            <w:vAlign w:val="center"/>
          </w:tcPr>
          <w:p w14:paraId="37105E71" w14:textId="77777777" w:rsidR="00992436" w:rsidRDefault="00000000">
            <w:pPr>
              <w:spacing w:after="40" w:line="252" w:lineRule="auto"/>
            </w:pPr>
            <w:r>
              <w:rPr>
                <w:b/>
                <w:sz w:val="20"/>
                <w:szCs w:val="20"/>
              </w:rPr>
              <w:t>Outcome</w:t>
            </w:r>
          </w:p>
        </w:tc>
      </w:tr>
      <w:tr w:rsidR="00992436" w14:paraId="4D8D46F1" w14:textId="77777777">
        <w:trPr>
          <w:cantSplit/>
          <w:jc w:val="center"/>
          <w:cantSplit/>
        </w:trPr>
        <w:tc>
          <w:tcPr>
            <w:tcW w:w="3168" w:type="dxa"/>
            <w:tcMar>
              <w:top w:w="95" w:type="dxa"/>
              <w:left w:w="85" w:type="dxa"/>
              <w:bottom w:w="95" w:type="dxa"/>
              <w:right w:w="85" w:type="dxa"/>
            </w:tcMar>
            <w:vAlign w:val="center"/>
          </w:tcPr>
          <w:p w14:paraId="51DF8A4C" w14:textId="77777777" w:rsidR="00992436" w:rsidRDefault="00000000">
            <w:pPr>
              <w:spacing w:after="40" w:line="252" w:lineRule="auto"/>
            </w:pPr>
            <w:r>
              <w:rPr>
                <w:sz w:val="20"/>
                <w:szCs w:val="20"/>
              </w:rPr>
              <w:t>Notes that figures are labelled by ranking year, but compares “between 2023 and 2025”</w:t>
            </w:r>
          </w:p>
        </w:tc>
        <w:tc>
          <w:tcPr>
            <w:tcW w:w="3744" w:type="dxa"/>
            <w:tcMar>
              <w:top w:w="95" w:type="dxa"/>
              <w:left w:w="85" w:type="dxa"/>
              <w:bottom w:w="95" w:type="dxa"/>
              <w:right w:w="85" w:type="dxa"/>
            </w:tcMar>
            <w:vAlign w:val="center"/>
          </w:tcPr>
          <w:p w14:paraId="07C95603" w14:textId="77777777" w:rsidR="00992436" w:rsidRDefault="00000000">
            <w:pPr>
              <w:spacing w:after="40" w:line="252" w:lineRule="auto"/>
            </w:pPr>
            <w:r>
              <w:rPr>
                <w:sz w:val="20"/>
                <w:szCs w:val="20"/>
              </w:rPr>
              <w:t>The 2025 ranking uses 2024 revenue and the 2024 ranking uses 2023 revenue [31], [32]</w:t>
            </w:r>
          </w:p>
        </w:tc>
        <w:tc>
          <w:tcPr>
            <w:tcW w:w="2448"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Corrected: each year moves back by one</w:t>
            </w:r>
          </w:p>
        </w:tc>
      </w:tr>
      <w:tr w:rsidR="00992436" w14:paraId="4D8D46F1" w14:textId="77777777">
        <w:trPr>
          <w:cantSplit/>
          <w:jc w:val="center"/>
          <w:cantSplit/>
        </w:trPr>
        <w:tc>
          <w:tcPr>
            <w:tcW w:w="3168" w:type="dxa"/>
            <w:tcMar>
              <w:top w:w="95" w:type="dxa"/>
              <w:left w:w="85" w:type="dxa"/>
              <w:bottom w:w="95" w:type="dxa"/>
              <w:right w:w="85" w:type="dxa"/>
            </w:tcMar>
            <w:vAlign w:val="center"/>
          </w:tcPr>
          <w:p w14:paraId="51DF8A4C" w14:textId="77777777" w:rsidR="00992436" w:rsidRDefault="00000000">
            <w:pPr>
              <w:spacing w:after="40" w:line="252" w:lineRule="auto"/>
            </w:pPr>
            <w:r>
              <w:rPr>
                <w:sz w:val="20"/>
                <w:szCs w:val="20"/>
              </w:rPr>
              <w:t>Revenue per employee rose to 47–48 m ₸, “a sign of higher productivity”</w:t>
            </w:r>
          </w:p>
        </w:tc>
        <w:tc>
          <w:tcPr>
            <w:tcW w:w="3744" w:type="dxa"/>
            <w:tcMar>
              <w:top w:w="95" w:type="dxa"/>
              <w:left w:w="85" w:type="dxa"/>
              <w:bottom w:w="95" w:type="dxa"/>
              <w:right w:w="85" w:type="dxa"/>
            </w:tcMar>
            <w:vAlign w:val="center"/>
          </w:tcPr>
          <w:p w14:paraId="07C95603" w14:textId="77777777" w:rsidR="00992436" w:rsidRDefault="00000000">
            <w:pPr>
              <w:spacing w:after="40" w:line="252" w:lineRule="auto"/>
            </w:pPr>
            <w:r>
              <w:rPr>
                <w:sz w:val="20"/>
                <w:szCs w:val="20"/>
              </w:rPr>
              <w:t>The largest jump (+40%) falls in 2023, whose headcount is a round 10,000, the figure Magnum’s careers site uses [36]; Forbes estimates missing data [31]</w:t>
            </w:r>
          </w:p>
        </w:tc>
        <w:tc>
          <w:tcPr>
            <w:tcW w:w="2448"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Rejected for 2023; 9,599 is the only exact recent count</w:t>
            </w:r>
          </w:p>
        </w:tc>
      </w:tr>
      <w:tr w:rsidR="00992436" w14:paraId="4D8D46F1" w14:textId="77777777">
        <w:trPr>
          <w:cantSplit/>
          <w:jc w:val="center"/>
          <w:cantSplit/>
        </w:trPr>
        <w:tc>
          <w:tcPr>
            <w:tcW w:w="3168" w:type="dxa"/>
            <w:tcMar>
              <w:top w:w="95" w:type="dxa"/>
              <w:left w:w="85" w:type="dxa"/>
              <w:bottom w:w="95" w:type="dxa"/>
              <w:right w:w="85" w:type="dxa"/>
            </w:tcMar>
            <w:vAlign w:val="center"/>
          </w:tcPr>
          <w:p w14:paraId="51DF8A4C" w14:textId="77777777" w:rsidR="00992436" w:rsidRDefault="00000000">
            <w:pPr>
              <w:spacing w:after="40" w:line="252" w:lineRule="auto"/>
            </w:pPr>
            <w:r>
              <w:rPr>
                <w:sz w:val="20"/>
                <w:szCs w:val="20"/>
              </w:rPr>
              <w:t>Revenue “slipped only about 2%”</w:t>
            </w:r>
          </w:p>
        </w:tc>
        <w:tc>
          <w:tcPr>
            <w:tcW w:w="3744" w:type="dxa"/>
            <w:tcMar>
              <w:top w:w="95" w:type="dxa"/>
              <w:left w:w="85" w:type="dxa"/>
              <w:bottom w:w="95" w:type="dxa"/>
              <w:right w:w="85" w:type="dxa"/>
            </w:tcMar>
            <w:vAlign w:val="center"/>
          </w:tcPr>
          <w:p w14:paraId="07C95603" w14:textId="77777777" w:rsidR="00992436" w:rsidRDefault="00000000">
            <w:pPr>
              <w:spacing w:after="40" w:line="252" w:lineRule="auto"/>
            </w:pPr>
            <w:r>
              <w:rPr>
                <w:sz w:val="20"/>
                <w:szCs w:val="20"/>
              </w:rPr>
              <w:t>Verified years: −5.6% nominal and −13.1% real after 8.6% inflation [35]</w:t>
            </w:r>
          </w:p>
        </w:tc>
        <w:tc>
          <w:tcPr>
            <w:tcW w:w="2448"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Qualified: the real fall is larger</w:t>
            </w:r>
          </w:p>
        </w:tc>
      </w:tr>
      <w:tr w:rsidR="00992436" w14:paraId="4D8D46F1" w14:textId="77777777">
        <w:trPr>
          <w:cantSplit/>
          <w:jc w:val="center"/>
          <w:cantSplit/>
        </w:trPr>
        <w:tc>
          <w:tcPr>
            <w:tcW w:w="3168" w:type="dxa"/>
            <w:tcMar>
              <w:top w:w="95" w:type="dxa"/>
              <w:left w:w="85" w:type="dxa"/>
              <w:bottom w:w="95" w:type="dxa"/>
              <w:right w:w="85" w:type="dxa"/>
            </w:tcMar>
            <w:vAlign w:val="center"/>
          </w:tcPr>
          <w:p w14:paraId="51DF8A4C" w14:textId="77777777" w:rsidR="00992436" w:rsidRDefault="00000000">
            <w:pPr>
              <w:spacing w:after="40" w:line="252" w:lineRule="auto"/>
            </w:pPr>
            <w:r>
              <w:rPr>
                <w:sz w:val="20"/>
                <w:szCs w:val="20"/>
              </w:rPr>
              <w:t>Margins of 12.27% (2016) and 1.18% (2019) suggest “thin margins”</w:t>
            </w:r>
          </w:p>
        </w:tc>
        <w:tc>
          <w:tcPr>
            <w:tcW w:w="3744" w:type="dxa"/>
            <w:tcMar>
              <w:top w:w="95" w:type="dxa"/>
              <w:left w:w="85" w:type="dxa"/>
              <w:bottom w:w="95" w:type="dxa"/>
              <w:right w:w="85" w:type="dxa"/>
            </w:tcMar>
            <w:vAlign w:val="center"/>
          </w:tcPr>
          <w:p w14:paraId="07C95603" w14:textId="77777777" w:rsidR="00992436" w:rsidRDefault="00000000">
            <w:pPr>
              <w:spacing w:after="40" w:line="252" w:lineRule="auto"/>
            </w:pPr>
            <w:r>
              <w:rPr>
                <w:sz w:val="20"/>
                <w:szCs w:val="20"/>
              </w:rPr>
              <w:t>Net profit is “no data” in both recent rankings; those margins are 7–10 years old [31]–[33]</w:t>
            </w:r>
          </w:p>
        </w:tc>
        <w:tc>
          <w:tcPr>
            <w:tcW w:w="2448"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Rejected: profitability is a data gap, not a trend</w:t>
            </w:r>
          </w:p>
        </w:tc>
      </w:tr>
      <w:tr w:rsidR="00992436" w14:paraId="4D8D46F1" w14:textId="77777777">
        <w:trPr>
          <w:cantSplit/>
          <w:jc w:val="center"/>
          <w:cantSplit/>
        </w:trPr>
        <w:tc>
          <w:tcPr>
            <w:tcW w:w="3168" w:type="dxa"/>
            <w:tcMar>
              <w:top w:w="95" w:type="dxa"/>
              <w:left w:w="85" w:type="dxa"/>
              <w:bottom w:w="95" w:type="dxa"/>
              <w:right w:w="85" w:type="dxa"/>
            </w:tcMar>
            <w:vAlign w:val="center"/>
          </w:tcPr>
          <w:p w14:paraId="51DF8A4C" w14:textId="77777777" w:rsidR="00992436" w:rsidRDefault="00000000">
            <w:pPr>
              <w:spacing w:after="40" w:line="252" w:lineRule="auto"/>
            </w:pPr>
            <w:r>
              <w:rPr>
                <w:sz w:val="20"/>
                <w:szCs w:val="20"/>
              </w:rPr>
              <w:t>Growth and revenue-per-employee arithmetic; headcount change not attributed to technology</w:t>
            </w:r>
          </w:p>
        </w:tc>
        <w:tc>
          <w:tcPr>
            <w:tcW w:w="3744" w:type="dxa"/>
            <w:tcMar>
              <w:top w:w="95" w:type="dxa"/>
              <w:left w:w="85" w:type="dxa"/>
              <w:bottom w:w="95" w:type="dxa"/>
              <w:right w:w="85" w:type="dxa"/>
            </w:tcMar>
            <w:vAlign w:val="center"/>
          </w:tcPr>
          <w:p w14:paraId="07C95603" w14:textId="77777777" w:rsidR="00992436" w:rsidRDefault="00000000">
            <w:pPr>
              <w:spacing w:after="40" w:line="252" w:lineRule="auto"/>
            </w:pPr>
            <w:r>
              <w:rPr>
                <w:sz w:val="20"/>
                <w:szCs w:val="20"/>
              </w:rPr>
              <w:t>Recalculated independently: identical to two decimals</w:t>
            </w:r>
          </w:p>
        </w:tc>
        <w:tc>
          <w:tcPr>
            <w:tcW w:w="2448" w:type="dxa"/>
            <w:tcMar>
              <w:top w:w="95" w:type="dxa"/>
              <w:left w:w="85" w:type="dxa"/>
              <w:bottom w:w="95" w:type="dxa"/>
              <w:right w:w="85" w:type="dxa"/>
            </w:tcMar>
            <w:vAlign w:val="center"/>
          </w:tcPr>
          <w:p w14:paraId="51F560BE" w14:textId="77777777" w:rsidR="00992436" w:rsidRDefault="00000000">
            <w:pPr>
              <w:spacing w:after="40" w:line="252" w:lineRule="auto"/>
            </w:pPr>
            <w:r>
              <w:rPr>
                <w:sz w:val="20"/>
                <w:szCs w:val="20"/>
              </w:rPr>
              <w:t>Agreed</w:t>
            </w:r>
          </w:p>
        </w:tc>
      </w:tr>
    </w:tbl>
    <w:p w14:paraId="26B07513" w14:textId="7A306842" w:rsidR="00992436" w:rsidRDefault="00000000">
      <w:r>
        <w:rPr>
          <w:szCs w:val="24"/>
        </w:rPr>
        <w:t>The audit separates two kinds of work. The arithmetic was right every time; every problem concerned the period, rounding, inflation or missing data, which required reading the source.</w:t>
      </w:r>
    </w:p>
    <w:p w14:paraId="5539D515" w14:textId="77777777" w:rsidR="00992436" w:rsidRDefault="00000000">
      <w:pPr>
        <w:pStyle w:val="1"/>
        <w:spacing w:before="120"/>
      </w:pPr>
      <w:r>
        <w:rPr>
          <w:szCs w:val="24"/>
        </w:rPr>
        <w:t>3  Verification and AI record</w:t>
      </w:r>
    </w:p>
    <w:p w14:paraId="26B07513" w14:textId="7A306842" w:rsidR="00992436" w:rsidRDefault="00000000">
      <w:r>
        <w:rPr>
          <w:szCs w:val="24"/>
        </w:rPr>
        <w:t>What did I check? The fiscal year behind Magnum’s revenue of 453.13 billion tenge. Against which source? The methodology of Forbes’s 2025 ranking, which ranks companies by 2024 revenue and was prepared with Adata.kz [31]. What did I find? The company profile labels the same figure “2025” [33], so a comparison with annual inflation would have been one year out. I also checked the 10,000 headcount against Magnum’s careers site, which uses the same round number for the whole company [36], and took 2024 inflation of 8.6% from the Bureau of National Statistics as reported by BES.media [35]. Magnum’s exit from Uzbekistan in 2025 [34] and Kaspi’s 2023 purchase of Magnum’s e-commerce business [31] may change what later figures cover; without statements I cannot measure that effect.</w:t>
      </w:r>
    </w:p>
    <w:p w14:paraId="26B07513" w14:textId="7A306842" w:rsidR="00992436" w:rsidRDefault="00000000">
      <w:r>
        <w:rPr>
          <w:szCs w:val="24"/>
        </w:rPr>
        <w:t>AI line: AI use for this record is declared in my A4 AI-use declaration, with what I verified and changed.</w:t>
      </w:r>
    </w:p>
    <w:p w14:paraId="5539D515" w14:textId="77777777" w:rsidR="00992436" w:rsidRDefault="00000000">
      <w:pPr>
        <w:pStyle w:val="1"/>
        <w:spacing w:before="120"/>
      </w:pPr>
      <w:r>
        <w:rPr>
          <w:szCs w:val="24"/>
        </w:rPr>
        <w:t>4  Transfer</w:t>
      </w:r>
    </w:p>
    <w:p w14:paraId="26B07513" w14:textId="7A306842" w:rsidR="00992436" w:rsidRDefault="00000000">
      <w:r>
        <w:rPr>
          <w:szCs w:val="24"/>
        </w:rPr>
        <w:t>ADAPT. Carrefour deployed Gemini to 250,000 employees in 2025 and uses AI agents in central functions such as sales forecasting and contract management [38]; with Vusion it aims to automate low value-added tasks and redeploy teams to customer service [37]. The logic transfers to Magnum’s head office: AI can do the calculation and the first draft. The implementation must change. Magnum should run AI on its internal ledgers rather than public estimates, put every AI figure through the four checks in Table 2 (period, rounding, inflation, scope), and have a named finance manager sign the result [16]. The scale does not transfer: Carrefour’s integrated stores employ over 300,000 people [37], against Magnum’s 9,599 [31].</w:t>
      </w:r>
    </w:p>
    <w:p w14:paraId="5539D515" w14:textId="77777777" w:rsidR="00992436" w:rsidRDefault="00000000">
      <w:pPr>
        <w:pStyle w:val="1"/>
        <w:spacing w:before="120"/>
      </w:pPr>
      <w:r>
        <w:rPr>
          <w:szCs w:val="24"/>
        </w:rPr>
        <w:t>5  Evidence</w:t>
      </w:r>
    </w:p>
    <w:p w14:paraId="26B07513" w14:textId="7A306842" w:rsidR="00992436" w:rsidRDefault="00000000">
      <w:r>
        <w:rPr>
          <w:szCs w:val="24"/>
        </w:rPr>
        <w:t>Added to the Evidence Folder: Forbes Kazakhstan’s 2024 and 2025 rankings [31], [32], its Magnum profile [33] and report on the Uzbekistan exit [34], BES.media’s report of 2024 inflation [35], Magnum’s careers site [36], the Carrefour–Vusion press release [37] and diginomica’s report on Carrefour 2030 [38]. The calculation and the AI interpretation are kept in the A4 appendix.</w:t>
      </w:r>
    </w:p>
    <w:p w14:paraId="5539D515" w14:textId="77777777" w:rsidR="00992436" w:rsidRDefault="00000000">
      <w:pPr>
        <w:pStyle w:val="1"/>
        <w:spacing w:before="120"/>
      </w:pPr>
      <w:r>
        <w:rPr>
          <w:szCs w:val="24"/>
        </w:rPr>
        <w:t>6  Capstone link</w:t>
      </w:r>
    </w:p>
    <w:p w14:paraId="26B07513" w14:textId="7A306842" w:rsidR="00992436" w:rsidRDefault="00000000">
      <w:r>
        <w:rPr>
          <w:szCs w:val="24"/>
        </w:rPr>
        <w:t>This record is developed into Capstone section 7, Business case and KPIs.</w:t>
      </w:r>
    </w:p>
    <w:p w14:paraId="5539D515" w14:textId="77777777" w:rsidR="00992436" w:rsidRDefault="00000000">
      <w:pPr>
        <w:pStyle w:val="1"/>
        <w:spacing w:before="120"/>
      </w:pPr>
      <w:r>
        <w:rPr>
          <w:szCs w:val="24"/>
        </w:rPr>
        <w:t>References</w:t>
      </w:r>
    </w:p>
    <w:p w14:paraId="26B07513" w14:textId="7A306842" w:rsidR="00992436" w:rsidRDefault="00000000">
      <w:r>
        <w:rPr>
          <w:szCs w:val="24"/>
        </w:rPr>
        <w:t>Source numbers and full links are in the cumulative Evidence Folder.</w:t>
      </w:r>
    </w:p>
    <w:p w14:paraId="26B07513" w14:textId="7A306842" w:rsidR="00992436" w:rsidRDefault="00000000">
      <w:r>
        <w:rPr>
          <w:szCs w:val="24"/>
        </w:rPr>
        <w:t>[1] L. J. Gitman et al., Introduction to Business, 2nd ed. OpenStax, 2026, secs. 14.4–14.8.</w:t>
      </w:r>
    </w:p>
    <w:p w14:paraId="26B07513" w14:textId="7A306842" w:rsidR="00992436" w:rsidRDefault="00000000">
      <w:r>
        <w:rPr>
          <w:szCs w:val="24"/>
        </w:rPr>
        <w:t>[16] NIST, “Artificial Intelligence Risk Management Framework AI RMF 1.0,” NIST AI 100-1, Jan. 2023, GOVERN 2.1–2.3.</w:t>
      </w:r>
    </w:p>
    <w:p w14:paraId="26B07513" w14:textId="7A306842" w:rsidR="00992436" w:rsidRDefault="00000000">
      <w:r>
        <w:rPr>
          <w:szCs w:val="24"/>
        </w:rPr>
        <w:t>[31] Forbes Kazakhstan, “75 крупнейших частных компаний Казахстана — 2025,” Dec. 8, 2025.</w:t>
      </w:r>
    </w:p>
    <w:p w14:paraId="26B07513" w14:textId="7A306842" w:rsidR="00992436" w:rsidRDefault="00000000">
      <w:r>
        <w:rPr>
          <w:szCs w:val="24"/>
        </w:rPr>
        <w:t>[32] Forbes Kazakhstan, “75 крупнейших частных компаний Казахстана,” Dec. 11, 2024.</w:t>
      </w:r>
    </w:p>
    <w:p w14:paraId="26B07513" w14:textId="7A306842" w:rsidR="00992436" w:rsidRDefault="00000000">
      <w:r>
        <w:rPr>
          <w:szCs w:val="24"/>
        </w:rPr>
        <w:t>[33] Forbes Kazakhstan, “Magnum Cash&amp;Carry,” company profile, n.d. Accessed: Oct. 24, 2026.</w:t>
      </w:r>
    </w:p>
    <w:p w14:paraId="26B07513" w14:textId="7A306842" w:rsidR="00992436" w:rsidRDefault="00000000">
      <w:r>
        <w:rPr>
          <w:szCs w:val="24"/>
        </w:rPr>
        <w:t>[34] Forbes Kazakhstan, “Magnum уходит из Узбекистана,” Jun. 19, 2025.</w:t>
      </w:r>
    </w:p>
    <w:p w14:paraId="26B07513" w14:textId="7A306842" w:rsidR="00992436" w:rsidRDefault="00000000">
      <w:r>
        <w:rPr>
          <w:szCs w:val="24"/>
        </w:rPr>
        <w:t>[35] BES.media, “8,6 вместо 6–8%: инфляция в Казахстане превысила ожидания,” Jan. 5, 2025.</w:t>
      </w:r>
    </w:p>
    <w:p w14:paraId="26B07513" w14:textId="7A306842" w:rsidR="00992436" w:rsidRDefault="00000000">
      <w:r>
        <w:rPr>
          <w:szCs w:val="24"/>
        </w:rPr>
        <w:t>[36] Magnum Cash&amp;Carry, “Magnum HR,” careers website, n.d. Accessed: Oct. 24, 2026.</w:t>
      </w:r>
    </w:p>
    <w:p w14:paraId="26B07513" w14:textId="7A306842" w:rsidR="00992436" w:rsidRDefault="00000000">
      <w:r>
        <w:rPr>
          <w:szCs w:val="24"/>
        </w:rPr>
        <w:t>[37] Vusion and Carrefour, “Carrefour and Vusion join forces to deploy the smart store at scale,” press release, Feb. 18, 2026.</w:t>
      </w:r>
    </w:p>
    <w:p w14:paraId="26B07513" w14:textId="7A306842" w:rsidR="00992436" w:rsidRDefault="00000000">
      <w:r>
        <w:rPr>
          <w:szCs w:val="24"/>
        </w:rPr>
        <w:t>[38] S. Lauchlan, “How Carrefour is following Walmart’s lead as its 2030 AI-enabled transformation kicks in,” diginomica, Feb. 23, 2026.</w:t>
      </w:r>
    </w:p>
    <w:sectPr w:rsidR="00992436" w:rsidSect="00034616">
      <w:footerReference w:type="default" r:id="rId8"/>
      <w:pgSz w:w="11905" w:h="16838"/>
      <w:pgMar w:top="1008" w:right="936" w:bottom="1008" w:left="936"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F6599B" w14:textId="77777777" w:rsidR="007B156B" w:rsidRDefault="007B156B">
      <w:pPr>
        <w:spacing w:after="0" w:line="240" w:lineRule="auto"/>
      </w:pPr>
      <w:r>
        <w:separator/>
      </w:r>
    </w:p>
  </w:endnote>
  <w:endnote w:type="continuationSeparator" w:id="0">
    <w:p w14:paraId="263AD20D" w14:textId="77777777" w:rsidR="007B156B" w:rsidRDefault="007B1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25E1EF" w14:textId="77777777" w:rsidR="00992436" w:rsidRDefault="00000000">
    <w:pPr>
      <w:pStyle w:val="a7"/>
      <w:jc w:val="right"/>
    </w:pPr>
    <w:r>
      <w:fldChar w:fldCharType="begin"/>
    </w:r>
    <w:r>
      <w:instrText>PAGE</w:instrText>
    </w:r>
    <w:r>
      <w:fldChar w:fldCharType="separate"/>
    </w:r>
    <w:r w:rsidR="007E62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6551D5" w14:textId="77777777" w:rsidR="007B156B" w:rsidRDefault="007B156B">
      <w:pPr>
        <w:spacing w:after="0" w:line="240" w:lineRule="auto"/>
      </w:pPr>
      <w:r>
        <w:separator/>
      </w:r>
    </w:p>
  </w:footnote>
  <w:footnote w:type="continuationSeparator" w:id="0">
    <w:p w14:paraId="35A4F557" w14:textId="77777777" w:rsidR="007B156B" w:rsidRDefault="007B15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eastAsia="Times New Roman" w:hAnsi="Times New Roman" w:cs="Times New Roman"/>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Times New Roman" w:eastAsia="Times New Roman" w:hAnsi="Times New Roman" w:cs="Times New Roman"/>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Times New Roman" w:eastAsia="Times New Roman" w:hAnsi="Times New Roman" w:cs="Times New Roman"/>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Times New Roman" w:eastAsia="Times New Roman" w:hAnsi="Times New Roman" w:cs="Times New Roman"/>
      </w:rPr>
    </w:lvl>
  </w:abstractNum>
  <w:num w:numId="1" w16cid:durableId="610206292">
    <w:abstractNumId w:val="8"/>
  </w:num>
  <w:num w:numId="2" w16cid:durableId="1012293685">
    <w:abstractNumId w:val="6"/>
  </w:num>
  <w:num w:numId="3" w16cid:durableId="1136485156">
    <w:abstractNumId w:val="5"/>
  </w:num>
  <w:num w:numId="4" w16cid:durableId="2021084290">
    <w:abstractNumId w:val="4"/>
  </w:num>
  <w:num w:numId="5" w16cid:durableId="537133056">
    <w:abstractNumId w:val="7"/>
  </w:num>
  <w:num w:numId="6" w16cid:durableId="128910391">
    <w:abstractNumId w:val="3"/>
  </w:num>
  <w:num w:numId="7" w16cid:durableId="175118694">
    <w:abstractNumId w:val="2"/>
  </w:num>
  <w:num w:numId="8" w16cid:durableId="1815833456">
    <w:abstractNumId w:val="1"/>
  </w:num>
  <w:num w:numId="9" w16cid:durableId="2057253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156B"/>
    <w:rsid w:val="007E6244"/>
    <w:rsid w:val="00992436"/>
    <w:rsid w:val="00AA1D8D"/>
    <w:rsid w:val="00B47730"/>
    <w:rsid w:val="00CB0664"/>
    <w:rsid w:val="00DC5DE7"/>
    <w:rsid w:val="00F442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FDE23A"/>
  <w14:defaultImageDpi w14:val="300"/>
  <w15:docId w15:val="{3C475E02-5661-5148-84F6-6BE0A7838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color w:val="000000"/>
      <w:sz w:val="24"/>
    </w:rPr>
  </w:style>
  <w:style w:type="paragraph" w:styleId="1">
    <w:name w:val="heading 1"/>
    <w:basedOn w:val="a1"/>
    <w:next w:val="a1"/>
    <w:link w:val="10"/>
    <w:uiPriority w:val="9"/>
    <w:qFormat/>
    <w:rsid w:val="00FC693F"/>
    <w:pPr>
      <w:keepNext/>
      <w:keepLines/>
      <w:outlineLvl w:val="0"/>
    </w:pPr>
    <w:rPr>
      <w:b/>
      <w:bCs/>
      <w:szCs w:val="28"/>
    </w:rPr>
  </w:style>
  <w:style w:type="paragraph" w:styleId="21">
    <w:name w:val="heading 2"/>
    <w:basedOn w:val="a1"/>
    <w:next w:val="a1"/>
    <w:link w:val="22"/>
    <w:uiPriority w:val="9"/>
    <w:unhideWhenUsed/>
    <w:qFormat/>
    <w:rsid w:val="00FC693F"/>
    <w:pPr>
      <w:keepNext/>
      <w:keepLines/>
      <w:outlineLvl w:val="1"/>
    </w:pPr>
    <w:rPr>
      <w:b/>
      <w:bCs/>
      <w:szCs w:val="26"/>
    </w:rPr>
  </w:style>
  <w:style w:type="paragraph" w:styleId="31">
    <w:name w:val="heading 3"/>
    <w:basedOn w:val="a1"/>
    <w:next w:val="a1"/>
    <w:link w:val="32"/>
    <w:uiPriority w:val="9"/>
    <w:unhideWhenUsed/>
    <w:qFormat/>
    <w:rsid w:val="00FC693F"/>
    <w:pPr>
      <w:keepNext/>
      <w:keepLines/>
      <w:outlineLvl w:val="2"/>
    </w:pPr>
    <w:rPr>
      <w:b/>
      <w:bCs/>
    </w:rPr>
  </w:style>
  <w:style w:type="paragraph" w:styleId="4">
    <w:name w:val="heading 4"/>
    <w:basedOn w:val="a1"/>
    <w:next w:val="a1"/>
    <w:link w:val="40"/>
    <w:uiPriority w:val="9"/>
    <w:semiHidden/>
    <w:unhideWhenUsed/>
    <w:qFormat/>
    <w:rsid w:val="00FC693F"/>
    <w:pPr>
      <w:keepNext/>
      <w:keepLines/>
      <w:outlineLvl w:val="3"/>
    </w:pPr>
    <w:rPr>
      <w:b/>
      <w:bCs/>
      <w:i/>
      <w:iCs/>
    </w:rPr>
  </w:style>
  <w:style w:type="paragraph" w:styleId="5">
    <w:name w:val="heading 5"/>
    <w:basedOn w:val="a1"/>
    <w:next w:val="a1"/>
    <w:link w:val="50"/>
    <w:uiPriority w:val="9"/>
    <w:semiHidden/>
    <w:unhideWhenUsed/>
    <w:qFormat/>
    <w:rsid w:val="00FC693F"/>
    <w:pPr>
      <w:keepNext/>
      <w:keepLines/>
      <w:outlineLvl w:val="4"/>
    </w:pPr>
  </w:style>
  <w:style w:type="paragraph" w:styleId="6">
    <w:name w:val="heading 6"/>
    <w:basedOn w:val="a1"/>
    <w:next w:val="a1"/>
    <w:link w:val="60"/>
    <w:uiPriority w:val="9"/>
    <w:semiHidden/>
    <w:unhideWhenUsed/>
    <w:qFormat/>
    <w:rsid w:val="00FC693F"/>
    <w:pPr>
      <w:keepNext/>
      <w:keepLines/>
      <w:outlineLvl w:val="5"/>
    </w:pPr>
    <w:rPr>
      <w:i/>
      <w:iCs/>
    </w:rPr>
  </w:style>
  <w:style w:type="paragraph" w:styleId="7">
    <w:name w:val="heading 7"/>
    <w:basedOn w:val="a1"/>
    <w:next w:val="a1"/>
    <w:link w:val="70"/>
    <w:uiPriority w:val="9"/>
    <w:semiHidden/>
    <w:unhideWhenUsed/>
    <w:qFormat/>
    <w:rsid w:val="00FC693F"/>
    <w:pPr>
      <w:keepNext/>
      <w:keepLines/>
      <w:outlineLvl w:val="6"/>
    </w:pPr>
    <w:rPr>
      <w:i/>
      <w:iCs/>
    </w:rPr>
  </w:style>
  <w:style w:type="paragraph" w:styleId="8">
    <w:name w:val="heading 8"/>
    <w:basedOn w:val="a1"/>
    <w:next w:val="a1"/>
    <w:link w:val="80"/>
    <w:uiPriority w:val="9"/>
    <w:semiHidden/>
    <w:unhideWhenUsed/>
    <w:qFormat/>
    <w:rsid w:val="00FC693F"/>
    <w:pPr>
      <w:keepNext/>
      <w:keepLines/>
      <w:outlineLvl w:val="7"/>
    </w:pPr>
    <w:rPr>
      <w:szCs w:val="20"/>
    </w:rPr>
  </w:style>
  <w:style w:type="paragraph" w:styleId="9">
    <w:name w:val="heading 9"/>
    <w:basedOn w:val="a1"/>
    <w:next w:val="a1"/>
    <w:link w:val="90"/>
    <w:uiPriority w:val="9"/>
    <w:semiHidden/>
    <w:unhideWhenUsed/>
    <w:qFormat/>
    <w:rsid w:val="00FC693F"/>
    <w:pPr>
      <w:keepNext/>
      <w:keepLines/>
      <w:outlineLvl w:val="8"/>
    </w:pPr>
    <w:rPr>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rPr>
      <w:rFonts w:ascii="Times New Roman" w:eastAsia="Times New Roman" w:hAnsi="Times New Roman" w:cs="Times New Roman"/>
      <w:color w:val="000000"/>
      <w:sz w:val="24"/>
    </w:rPr>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rPr>
      <w:rFonts w:ascii="Times New Roman" w:eastAsia="Times New Roman" w:hAnsi="Times New Roman" w:cs="Times New Roman"/>
      <w:color w:val="000000"/>
      <w:sz w:val="24"/>
    </w:rPr>
  </w:style>
  <w:style w:type="paragraph" w:styleId="a9">
    <w:name w:val="No Spacing"/>
    <w:uiPriority w:val="1"/>
    <w:qFormat/>
    <w:rsid w:val="00FC693F"/>
    <w:pPr>
      <w:spacing w:after="120"/>
    </w:pPr>
    <w:rPr>
      <w:color w:val="000000"/>
      <w:sz w:val="24"/>
    </w:rPr>
  </w:style>
  <w:style w:type="character" w:customStyle="1" w:styleId="10">
    <w:name w:val="Заголовок 1 Знак"/>
    <w:basedOn w:val="a2"/>
    <w:link w:val="1"/>
    <w:uiPriority w:val="9"/>
    <w:rsid w:val="00FC693F"/>
    <w:rPr>
      <w:rFonts w:ascii="Times New Roman" w:eastAsia="Times New Roman" w:hAnsi="Times New Roman" w:cs="Times New Roman"/>
      <w:b/>
      <w:bCs/>
      <w:color w:val="000000"/>
      <w:sz w:val="24"/>
      <w:szCs w:val="28"/>
    </w:rPr>
  </w:style>
  <w:style w:type="character" w:customStyle="1" w:styleId="22">
    <w:name w:val="Заголовок 2 Знак"/>
    <w:basedOn w:val="a2"/>
    <w:link w:val="21"/>
    <w:uiPriority w:val="9"/>
    <w:rsid w:val="00FC693F"/>
    <w:rPr>
      <w:rFonts w:ascii="Times New Roman" w:eastAsia="Times New Roman" w:hAnsi="Times New Roman" w:cs="Times New Roman"/>
      <w:b/>
      <w:bCs/>
      <w:color w:val="000000"/>
      <w:sz w:val="24"/>
      <w:szCs w:val="26"/>
    </w:rPr>
  </w:style>
  <w:style w:type="character" w:customStyle="1" w:styleId="32">
    <w:name w:val="Заголовок 3 Знак"/>
    <w:basedOn w:val="a2"/>
    <w:link w:val="31"/>
    <w:uiPriority w:val="9"/>
    <w:rsid w:val="00FC693F"/>
    <w:rPr>
      <w:rFonts w:ascii="Times New Roman" w:eastAsia="Times New Roman" w:hAnsi="Times New Roman" w:cs="Times New Roman"/>
      <w:b/>
      <w:bCs/>
      <w:color w:val="000000"/>
      <w:sz w:val="24"/>
    </w:rPr>
  </w:style>
  <w:style w:type="paragraph" w:styleId="aa">
    <w:name w:val="Title"/>
    <w:basedOn w:val="a1"/>
    <w:next w:val="a1"/>
    <w:link w:val="ab"/>
    <w:uiPriority w:val="10"/>
    <w:qFormat/>
    <w:rsid w:val="00FC693F"/>
    <w:pPr>
      <w:keepNext/>
      <w:contextualSpacing/>
    </w:pPr>
    <w:rPr>
      <w:spacing w:val="5"/>
      <w:kern w:val="28"/>
      <w:szCs w:val="52"/>
    </w:rPr>
  </w:style>
  <w:style w:type="character" w:customStyle="1" w:styleId="ab">
    <w:name w:val="Заголовок Знак"/>
    <w:basedOn w:val="a2"/>
    <w:link w:val="aa"/>
    <w:uiPriority w:val="10"/>
    <w:rsid w:val="00FC693F"/>
    <w:rPr>
      <w:rFonts w:ascii="Times New Roman" w:eastAsia="Times New Roman" w:hAnsi="Times New Roman" w:cs="Times New Roman"/>
      <w:color w:val="000000"/>
      <w:spacing w:val="5"/>
      <w:kern w:val="28"/>
      <w:sz w:val="24"/>
      <w:szCs w:val="52"/>
    </w:rPr>
  </w:style>
  <w:style w:type="paragraph" w:styleId="ac">
    <w:name w:val="Subtitle"/>
    <w:basedOn w:val="a1"/>
    <w:next w:val="a1"/>
    <w:link w:val="ad"/>
    <w:uiPriority w:val="11"/>
    <w:qFormat/>
    <w:rsid w:val="00FC693F"/>
    <w:pPr>
      <w:numPr>
        <w:ilvl w:val="1"/>
      </w:numPr>
    </w:pPr>
    <w:rPr>
      <w:i/>
      <w:iCs/>
      <w:spacing w:val="15"/>
      <w:szCs w:val="24"/>
    </w:rPr>
  </w:style>
  <w:style w:type="character" w:customStyle="1" w:styleId="ad">
    <w:name w:val="Подзаголовок Знак"/>
    <w:basedOn w:val="a2"/>
    <w:link w:val="ac"/>
    <w:uiPriority w:val="11"/>
    <w:rsid w:val="00FC693F"/>
    <w:rPr>
      <w:rFonts w:ascii="Times New Roman" w:eastAsia="Times New Roman" w:hAnsi="Times New Roman" w:cs="Times New Roman"/>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rPr>
      <w:rFonts w:ascii="Times New Roman" w:eastAsia="Times New Roman" w:hAnsi="Times New Roman" w:cs="Times New Roman"/>
      <w:color w:val="000000"/>
      <w:sz w:val="24"/>
    </w:rPr>
  </w:style>
  <w:style w:type="paragraph" w:styleId="23">
    <w:name w:val="Body Text 2"/>
    <w:basedOn w:val="a1"/>
    <w:link w:val="24"/>
    <w:uiPriority w:val="99"/>
    <w:unhideWhenUsed/>
    <w:rsid w:val="00AA1D8D"/>
  </w:style>
  <w:style w:type="character" w:customStyle="1" w:styleId="24">
    <w:name w:val="Основной текст 2 Знак"/>
    <w:basedOn w:val="a2"/>
    <w:link w:val="23"/>
    <w:uiPriority w:val="99"/>
    <w:rsid w:val="00AA1D8D"/>
    <w:rPr>
      <w:rFonts w:ascii="Times New Roman" w:eastAsia="Times New Roman" w:hAnsi="Times New Roman" w:cs="Times New Roman"/>
      <w:color w:val="000000"/>
      <w:sz w:val="24"/>
    </w:rPr>
  </w:style>
  <w:style w:type="paragraph" w:styleId="33">
    <w:name w:val="Body Text 3"/>
    <w:basedOn w:val="a1"/>
    <w:link w:val="34"/>
    <w:uiPriority w:val="99"/>
    <w:unhideWhenUsed/>
    <w:rsid w:val="00AA1D8D"/>
    <w:rPr>
      <w:szCs w:val="16"/>
    </w:rPr>
  </w:style>
  <w:style w:type="character" w:customStyle="1" w:styleId="34">
    <w:name w:val="Основной текст 3 Знак"/>
    <w:basedOn w:val="a2"/>
    <w:link w:val="33"/>
    <w:uiPriority w:val="99"/>
    <w:rsid w:val="00AA1D8D"/>
    <w:rPr>
      <w:rFonts w:ascii="Times New Roman" w:eastAsia="Times New Roman" w:hAnsi="Times New Roman" w:cs="Times New Roman"/>
      <w:color w:val="000000"/>
      <w:sz w:val="24"/>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120"/>
    </w:pPr>
    <w:rPr>
      <w:color w:val="000000"/>
      <w:sz w:val="24"/>
      <w:szCs w:val="20"/>
    </w:rPr>
  </w:style>
  <w:style w:type="character" w:customStyle="1" w:styleId="af4">
    <w:name w:val="Текст макроса Знак"/>
    <w:basedOn w:val="a2"/>
    <w:link w:val="af3"/>
    <w:uiPriority w:val="99"/>
    <w:rsid w:val="0029639D"/>
    <w:rPr>
      <w:rFonts w:ascii="Times New Roman" w:eastAsia="Times New Roman" w:hAnsi="Times New Roman" w:cs="Times New Roman"/>
      <w:color w:val="000000"/>
      <w:sz w:val="24"/>
      <w:szCs w:val="20"/>
    </w:rPr>
  </w:style>
  <w:style w:type="paragraph" w:styleId="27">
    <w:name w:val="Quote"/>
    <w:basedOn w:val="a1"/>
    <w:next w:val="a1"/>
    <w:link w:val="28"/>
    <w:uiPriority w:val="29"/>
    <w:qFormat/>
    <w:rsid w:val="00FC693F"/>
    <w:rPr>
      <w:i/>
      <w:iCs/>
    </w:rPr>
  </w:style>
  <w:style w:type="character" w:customStyle="1" w:styleId="28">
    <w:name w:val="Цитата 2 Знак"/>
    <w:basedOn w:val="a2"/>
    <w:link w:val="27"/>
    <w:uiPriority w:val="29"/>
    <w:rsid w:val="00FC693F"/>
    <w:rPr>
      <w:rFonts w:ascii="Times New Roman" w:eastAsia="Times New Roman" w:hAnsi="Times New Roman" w:cs="Times New Roman"/>
      <w:i/>
      <w:iCs/>
      <w:color w:val="000000"/>
      <w:sz w:val="24"/>
    </w:rPr>
  </w:style>
  <w:style w:type="character" w:customStyle="1" w:styleId="40">
    <w:name w:val="Заголовок 4 Знак"/>
    <w:basedOn w:val="a2"/>
    <w:link w:val="4"/>
    <w:uiPriority w:val="9"/>
    <w:semiHidden/>
    <w:rsid w:val="00FC693F"/>
    <w:rPr>
      <w:rFonts w:ascii="Times New Roman" w:eastAsia="Times New Roman" w:hAnsi="Times New Roman" w:cs="Times New Roman"/>
      <w:b/>
      <w:bCs/>
      <w:i/>
      <w:iCs/>
      <w:color w:val="000000"/>
      <w:sz w:val="24"/>
    </w:rPr>
  </w:style>
  <w:style w:type="character" w:customStyle="1" w:styleId="50">
    <w:name w:val="Заголовок 5 Знак"/>
    <w:basedOn w:val="a2"/>
    <w:link w:val="5"/>
    <w:uiPriority w:val="9"/>
    <w:semiHidden/>
    <w:rsid w:val="00FC693F"/>
    <w:rPr>
      <w:rFonts w:ascii="Times New Roman" w:eastAsia="Times New Roman" w:hAnsi="Times New Roman" w:cs="Times New Roman"/>
      <w:color w:val="000000"/>
      <w:sz w:val="24"/>
    </w:rPr>
  </w:style>
  <w:style w:type="character" w:customStyle="1" w:styleId="60">
    <w:name w:val="Заголовок 6 Знак"/>
    <w:basedOn w:val="a2"/>
    <w:link w:val="6"/>
    <w:uiPriority w:val="9"/>
    <w:semiHidden/>
    <w:rsid w:val="00FC693F"/>
    <w:rPr>
      <w:rFonts w:ascii="Times New Roman" w:eastAsia="Times New Roman" w:hAnsi="Times New Roman" w:cs="Times New Roman"/>
      <w:i/>
      <w:iCs/>
      <w:color w:val="000000"/>
      <w:sz w:val="24"/>
    </w:rPr>
  </w:style>
  <w:style w:type="character" w:customStyle="1" w:styleId="70">
    <w:name w:val="Заголовок 7 Знак"/>
    <w:basedOn w:val="a2"/>
    <w:link w:val="7"/>
    <w:uiPriority w:val="9"/>
    <w:semiHidden/>
    <w:rsid w:val="00FC693F"/>
    <w:rPr>
      <w:rFonts w:ascii="Times New Roman" w:eastAsia="Times New Roman" w:hAnsi="Times New Roman" w:cs="Times New Roman"/>
      <w:i/>
      <w:iCs/>
      <w:color w:val="000000"/>
      <w:sz w:val="24"/>
    </w:rPr>
  </w:style>
  <w:style w:type="character" w:customStyle="1" w:styleId="80">
    <w:name w:val="Заголовок 8 Знак"/>
    <w:basedOn w:val="a2"/>
    <w:link w:val="8"/>
    <w:uiPriority w:val="9"/>
    <w:semiHidden/>
    <w:rsid w:val="00FC693F"/>
    <w:rPr>
      <w:rFonts w:ascii="Times New Roman" w:eastAsia="Times New Roman" w:hAnsi="Times New Roman" w:cs="Times New Roman"/>
      <w:color w:val="000000"/>
      <w:sz w:val="24"/>
      <w:szCs w:val="20"/>
    </w:rPr>
  </w:style>
  <w:style w:type="character" w:customStyle="1" w:styleId="90">
    <w:name w:val="Заголовок 9 Знак"/>
    <w:basedOn w:val="a2"/>
    <w:link w:val="9"/>
    <w:uiPriority w:val="9"/>
    <w:semiHidden/>
    <w:rsid w:val="00FC693F"/>
    <w:rPr>
      <w:rFonts w:ascii="Times New Roman" w:eastAsia="Times New Roman" w:hAnsi="Times New Roman" w:cs="Times New Roman"/>
      <w:i/>
      <w:iCs/>
      <w:color w:val="000000"/>
      <w:sz w:val="24"/>
      <w:szCs w:val="20"/>
    </w:rPr>
  </w:style>
  <w:style w:type="paragraph" w:styleId="af5">
    <w:name w:val="caption"/>
    <w:basedOn w:val="a1"/>
    <w:next w:val="a1"/>
    <w:uiPriority w:val="35"/>
    <w:semiHidden/>
    <w:unhideWhenUsed/>
    <w:qFormat/>
    <w:rsid w:val="00FC693F"/>
    <w:rPr>
      <w:b/>
      <w:bCs/>
      <w:szCs w:val="18"/>
    </w:rPr>
  </w:style>
  <w:style w:type="character" w:styleId="af6">
    <w:name w:val="Strong"/>
    <w:basedOn w:val="a2"/>
    <w:uiPriority w:val="22"/>
    <w:qFormat/>
    <w:rsid w:val="00FC693F"/>
    <w:rPr>
      <w:rFonts w:ascii="Times New Roman" w:eastAsia="Times New Roman" w:hAnsi="Times New Roman" w:cs="Times New Roman"/>
      <w:b/>
      <w:bCs/>
      <w:color w:val="000000"/>
      <w:sz w:val="24"/>
    </w:rPr>
  </w:style>
  <w:style w:type="character" w:styleId="af7">
    <w:name w:val="Emphasis"/>
    <w:basedOn w:val="a2"/>
    <w:uiPriority w:val="20"/>
    <w:qFormat/>
    <w:rsid w:val="00FC693F"/>
    <w:rPr>
      <w:rFonts w:ascii="Times New Roman" w:eastAsia="Times New Roman" w:hAnsi="Times New Roman" w:cs="Times New Roman"/>
      <w:i/>
      <w:iCs/>
      <w:color w:val="000000"/>
      <w:sz w:val="24"/>
    </w:rPr>
  </w:style>
  <w:style w:type="paragraph" w:styleId="af8">
    <w:name w:val="Intense Quote"/>
    <w:basedOn w:val="a1"/>
    <w:next w:val="a1"/>
    <w:link w:val="af9"/>
    <w:uiPriority w:val="30"/>
    <w:qFormat/>
    <w:rsid w:val="00FC693F"/>
    <w:pPr>
      <w:ind w:left="936" w:right="936"/>
    </w:pPr>
    <w:rPr>
      <w:b/>
      <w:bCs/>
      <w:i/>
      <w:iCs/>
    </w:rPr>
  </w:style>
  <w:style w:type="character" w:customStyle="1" w:styleId="af9">
    <w:name w:val="Выделенная цитата Знак"/>
    <w:basedOn w:val="a2"/>
    <w:link w:val="af8"/>
    <w:uiPriority w:val="30"/>
    <w:rsid w:val="00FC693F"/>
    <w:rPr>
      <w:rFonts w:ascii="Times New Roman" w:eastAsia="Times New Roman" w:hAnsi="Times New Roman" w:cs="Times New Roman"/>
      <w:b/>
      <w:bCs/>
      <w:i/>
      <w:iCs/>
      <w:color w:val="000000"/>
      <w:sz w:val="24"/>
    </w:rPr>
  </w:style>
  <w:style w:type="character" w:styleId="afa">
    <w:name w:val="Subtle Emphasis"/>
    <w:basedOn w:val="a2"/>
    <w:uiPriority w:val="19"/>
    <w:qFormat/>
    <w:rsid w:val="00FC693F"/>
    <w:rPr>
      <w:rFonts w:ascii="Times New Roman" w:eastAsia="Times New Roman" w:hAnsi="Times New Roman" w:cs="Times New Roman"/>
      <w:i/>
      <w:iCs/>
      <w:color w:val="000000"/>
      <w:sz w:val="24"/>
    </w:rPr>
  </w:style>
  <w:style w:type="character" w:styleId="afb">
    <w:name w:val="Intense Emphasis"/>
    <w:basedOn w:val="a2"/>
    <w:uiPriority w:val="21"/>
    <w:qFormat/>
    <w:rsid w:val="00FC693F"/>
    <w:rPr>
      <w:rFonts w:ascii="Times New Roman" w:eastAsia="Times New Roman" w:hAnsi="Times New Roman" w:cs="Times New Roman"/>
      <w:b/>
      <w:bCs/>
      <w:i/>
      <w:iCs/>
      <w:color w:val="000000"/>
      <w:sz w:val="24"/>
    </w:rPr>
  </w:style>
  <w:style w:type="character" w:styleId="afc">
    <w:name w:val="Subtle Reference"/>
    <w:basedOn w:val="a2"/>
    <w:uiPriority w:val="31"/>
    <w:qFormat/>
    <w:rsid w:val="00FC693F"/>
    <w:rPr>
      <w:rFonts w:ascii="Times New Roman" w:eastAsia="Times New Roman" w:hAnsi="Times New Roman" w:cs="Times New Roman"/>
      <w:smallCaps/>
      <w:color w:val="000000"/>
      <w:sz w:val="24"/>
      <w:u w:val="single"/>
    </w:rPr>
  </w:style>
  <w:style w:type="character" w:styleId="afd">
    <w:name w:val="Intense Reference"/>
    <w:basedOn w:val="a2"/>
    <w:uiPriority w:val="32"/>
    <w:qFormat/>
    <w:rsid w:val="00FC693F"/>
    <w:rPr>
      <w:rFonts w:ascii="Times New Roman" w:eastAsia="Times New Roman" w:hAnsi="Times New Roman" w:cs="Times New Roman"/>
      <w:b/>
      <w:bCs/>
      <w:smallCaps/>
      <w:color w:val="000000"/>
      <w:spacing w:val="5"/>
      <w:sz w:val="24"/>
      <w:u w:val="single"/>
    </w:rPr>
  </w:style>
  <w:style w:type="character" w:styleId="afe">
    <w:name w:val="Book Title"/>
    <w:basedOn w:val="a2"/>
    <w:uiPriority w:val="33"/>
    <w:qFormat/>
    <w:rsid w:val="00FC693F"/>
    <w:rPr>
      <w:rFonts w:ascii="Times New Roman" w:eastAsia="Times New Roman" w:hAnsi="Times New Roman" w:cs="Times New Roman"/>
      <w:b/>
      <w:bCs/>
      <w:smallCaps/>
      <w:color w:val="000000"/>
      <w:spacing w:val="5"/>
      <w:sz w:val="24"/>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rPr>
      <w:color w:val="000000"/>
      <w:sz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1">
    <w:name w:val="Light Shading"/>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1">
    <w:name w:val="Light Shading Accent 1"/>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2">
    <w:name w:val="Light Shading Accent 2"/>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3">
    <w:name w:val="Light Shading Accent 3"/>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4">
    <w:name w:val="Light Shading Accent 4"/>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5">
    <w:name w:val="Light Shading Accent 5"/>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6">
    <w:name w:val="Light Shading Accent 6"/>
    <w:basedOn w:val="a3"/>
    <w:uiPriority w:val="60"/>
    <w:rsid w:val="00FC693F"/>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aff2">
    <w:name w:val="Light List"/>
    <w:basedOn w:val="a3"/>
    <w:uiPriority w:val="61"/>
    <w:rsid w:val="00FC693F"/>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10">
    <w:name w:val="Light List Accent 1"/>
    <w:basedOn w:val="a3"/>
    <w:uiPriority w:val="61"/>
    <w:rsid w:val="00FC693F"/>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20">
    <w:name w:val="Light List Accent 2"/>
    <w:basedOn w:val="a3"/>
    <w:uiPriority w:val="61"/>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30">
    <w:name w:val="Light List Accent 3"/>
    <w:basedOn w:val="a3"/>
    <w:uiPriority w:val="61"/>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40">
    <w:name w:val="Light List Accent 4"/>
    <w:basedOn w:val="a3"/>
    <w:uiPriority w:val="61"/>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50">
    <w:name w:val="Light List Accent 5"/>
    <w:basedOn w:val="a3"/>
    <w:uiPriority w:val="61"/>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60">
    <w:name w:val="Light List Accent 6"/>
    <w:basedOn w:val="a3"/>
    <w:uiPriority w:val="61"/>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aff3">
    <w:name w:val="Light Grid"/>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11">
    <w:name w:val="Light Grid Accent 1"/>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21">
    <w:name w:val="Light Grid Accent 2"/>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31">
    <w:name w:val="Light Grid Accent 3"/>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41">
    <w:name w:val="Light Grid Accent 4"/>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51">
    <w:name w:val="Light Grid Accent 5"/>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61">
    <w:name w:val="Light Grid Accent 6"/>
    <w:basedOn w:val="a3"/>
    <w:uiPriority w:val="62"/>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11">
    <w:name w:val="Medium Shading 1"/>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1">
    <w:name w:val="Medium Shading 2 Accent 1"/>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2">
    <w:name w:val="Medium Shading 2 Accent 2"/>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3">
    <w:name w:val="Medium Shading 2 Accent 3"/>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4">
    <w:name w:val="Medium Shading 2 Accent 4"/>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5">
    <w:name w:val="Medium Shading 2 Accent 5"/>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2-6">
    <w:name w:val="Medium Shading 2 Accent 6"/>
    <w:basedOn w:val="a3"/>
    <w:uiPriority w:val="64"/>
    <w:rsid w:val="00CB0664"/>
    <w:pPr>
      <w:spacing w:after="0" w:line="240" w:lineRule="auto"/>
    </w:pPr>
    <w:rPr>
      <w:color w:val="000000"/>
      <w:sz w:val="24"/>
    </w:r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tcPr>
    </w:tblStylePr>
    <w:tblStylePr w:type="firstCol">
      <w:rPr>
        <w:b/>
        <w:bCs/>
        <w:color w:val="000000"/>
      </w:rPr>
      <w:tblPr/>
      <w:tcPr>
        <w:tcBorders>
          <w:top w:val="nil"/>
          <w:left w:val="nil"/>
          <w:bottom w:val="single" w:sz="18" w:space="0" w:color="000000"/>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12">
    <w:name w:val="Medium List 1"/>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1-10">
    <w:name w:val="Medium List 1 Accent 1"/>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1-20">
    <w:name w:val="Medium List 1 Accent 2"/>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1-30">
    <w:name w:val="Medium List 1 Accent 3"/>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1-40">
    <w:name w:val="Medium List 1 Accent 4"/>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1-50">
    <w:name w:val="Medium List 1 Accent 5"/>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1-60">
    <w:name w:val="Medium List 1 Accent 6"/>
    <w:basedOn w:val="a3"/>
    <w:uiPriority w:val="65"/>
    <w:rsid w:val="00CB0664"/>
    <w:pPr>
      <w:spacing w:after="0" w:line="240" w:lineRule="auto"/>
    </w:pPr>
    <w:rPr>
      <w:color w:val="000000"/>
      <w:sz w:val="24"/>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style>
  <w:style w:type="table" w:styleId="2a">
    <w:name w:val="Medium List 2"/>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tcPr>
    </w:tblStylePr>
    <w:tblStylePr w:type="lastRow">
      <w:tblPr/>
      <w:tcPr>
        <w:tcBorders>
          <w:top w:val="single" w:sz="8" w:space="0" w:color="000000"/>
          <w:left w:val="nil"/>
          <w:bottom w:val="nil"/>
          <w:right w:val="nil"/>
          <w:insideH w:val="nil"/>
          <w:insideV w:val="nil"/>
        </w:tcBorders>
      </w:tcPr>
    </w:tblStylePr>
    <w:tblStylePr w:type="firstCol">
      <w:tblPr/>
      <w:tcPr>
        <w:tcBorders>
          <w:top w:val="nil"/>
          <w:left w:val="nil"/>
          <w:bottom w:val="nil"/>
          <w:right w:val="single" w:sz="8" w:space="0" w:color="000000"/>
          <w:insideH w:val="nil"/>
          <w:insideV w:val="nil"/>
        </w:tcBorders>
      </w:tcPr>
    </w:tblStylePr>
    <w:tblStylePr w:type="lastCol">
      <w:tblPr/>
      <w:tcPr>
        <w:tcBorders>
          <w:top w:val="nil"/>
          <w:left w:val="single" w:sz="8" w:space="0" w:color="000000"/>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13">
    <w:name w:val="Medium Grid 1"/>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1-11">
    <w:name w:val="Medium Grid 1 Accent 1"/>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1-21">
    <w:name w:val="Medium Grid 1 Accent 2"/>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1-31">
    <w:name w:val="Medium Grid 1 Accent 3"/>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1-41">
    <w:name w:val="Medium Grid 1 Accent 4"/>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1-51">
    <w:name w:val="Medium Grid 1 Accent 5"/>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1-61">
    <w:name w:val="Medium Grid 1 Accent 6"/>
    <w:basedOn w:val="a3"/>
    <w:uiPriority w:val="67"/>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style>
  <w:style w:type="table" w:styleId="2b">
    <w:name w:val="Medium Grid 2"/>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2-11">
    <w:name w:val="Medium Grid 2 Accent 1"/>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2-21">
    <w:name w:val="Medium Grid 2 Accent 2"/>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2-31">
    <w:name w:val="Medium Grid 2 Accent 3"/>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2-41">
    <w:name w:val="Medium Grid 2 Accent 4"/>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2-51">
    <w:name w:val="Medium Grid 2 Accent 5"/>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2-61">
    <w:name w:val="Medium Grid 2 Accent 6"/>
    <w:basedOn w:val="a3"/>
    <w:uiPriority w:val="68"/>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blStylePr>
    <w:tblStylePr w:type="lastRow">
      <w:rPr>
        <w:b/>
        <w:bCs/>
        <w:color w:val="000000"/>
      </w:rPr>
      <w:tblPr/>
      <w:tcPr>
        <w:tcBorders>
          <w:top w:val="single" w:sz="12" w:space="0" w:color="000000"/>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insideV w:val="single" w:sz="6" w:space="0" w:color="000000"/>
        </w:tcBorders>
      </w:tcPr>
    </w:tblStylePr>
  </w:style>
  <w:style w:type="table" w:styleId="37">
    <w:name w:val="Medium Grid 3"/>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1">
    <w:name w:val="Medium Grid 3 Accent 1"/>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2">
    <w:name w:val="Medium Grid 3 Accent 2"/>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3">
    <w:name w:val="Medium Grid 3 Accent 3"/>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4">
    <w:name w:val="Medium Grid 3 Accent 4"/>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5">
    <w:name w:val="Medium Grid 3 Accent 5"/>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3-6">
    <w:name w:val="Medium Grid 3 Accent 6"/>
    <w:basedOn w:val="a3"/>
    <w:uiPriority w:val="69"/>
    <w:rsid w:val="00CB0664"/>
    <w:pPr>
      <w:spacing w:after="0" w:line="240" w:lineRule="auto"/>
    </w:pPr>
    <w:rPr>
      <w:color w:val="000000"/>
      <w:sz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tcPr>
    </w:tblStylePr>
    <w:tblStylePr w:type="firstCol">
      <w:rPr>
        <w:b/>
        <w:bCs/>
        <w:i w:val="0"/>
        <w:iCs w:val="0"/>
        <w:color w:val="000000"/>
      </w:rPr>
      <w:tblPr/>
      <w:tcPr>
        <w:tcBorders>
          <w:left w:val="single" w:sz="8" w:space="0" w:color="000000"/>
          <w:right w:val="single" w:sz="24" w:space="0" w:color="000000"/>
          <w:insideH w:val="nil"/>
          <w:insideV w:val="nil"/>
        </w:tcBorders>
      </w:tcPr>
    </w:tblStylePr>
    <w:tblStylePr w:type="lastCol">
      <w:rPr>
        <w:b/>
        <w:bCs/>
        <w:i w:val="0"/>
        <w:iCs w:val="0"/>
        <w:color w:val="000000"/>
      </w:rPr>
      <w:tblPr/>
      <w:tcPr>
        <w:tcBorders>
          <w:top w:val="nil"/>
          <w:left w:val="single" w:sz="24" w:space="0" w:color="000000"/>
          <w:bottom w:val="nil"/>
          <w:right w:val="nil"/>
          <w:insideH w:val="nil"/>
          <w:insideV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tblStylePr>
  </w:style>
  <w:style w:type="table" w:styleId="aff4">
    <w:name w:val="Dark List"/>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12">
    <w:name w:val="Dark List Accent 1"/>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22">
    <w:name w:val="Dark List Accent 2"/>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32">
    <w:name w:val="Dark List Accent 3"/>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42">
    <w:name w:val="Dark List Accent 4"/>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52">
    <w:name w:val="Dark List Accent 5"/>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62">
    <w:name w:val="Dark List Accent 6"/>
    <w:basedOn w:val="a3"/>
    <w:uiPriority w:val="70"/>
    <w:rsid w:val="00CB0664"/>
    <w:pPr>
      <w:spacing w:after="0" w:line="240" w:lineRule="auto"/>
    </w:pPr>
    <w:rPr>
      <w:color w:val="000000"/>
      <w:sz w:val="24"/>
    </w:rPr>
    <w:tblPr>
      <w:tblStyleRowBandSize w:val="1"/>
      <w:tblStyleColBandSize w:val="1"/>
    </w:tblPr>
    <w:tblStylePr w:type="firstRow">
      <w:rPr>
        <w:b/>
        <w:bCs/>
      </w:rPr>
      <w:tblPr/>
      <w:tcPr>
        <w:tcBorders>
          <w:top w:val="nil"/>
          <w:left w:val="nil"/>
          <w:bottom w:val="single" w:sz="18" w:space="0" w:color="000000"/>
          <w:right w:val="nil"/>
          <w:insideH w:val="nil"/>
          <w:insideV w:val="nil"/>
        </w:tcBorders>
      </w:tcPr>
    </w:tblStylePr>
    <w:tblStylePr w:type="lastRow">
      <w:tblPr/>
      <w:tcPr>
        <w:tcBorders>
          <w:top w:val="single" w:sz="18" w:space="0" w:color="000000"/>
          <w:left w:val="nil"/>
          <w:bottom w:val="nil"/>
          <w:right w:val="nil"/>
          <w:insideH w:val="nil"/>
          <w:insideV w:val="nil"/>
        </w:tcBorders>
      </w:tcPr>
    </w:tblStylePr>
    <w:tblStylePr w:type="firstCol">
      <w:tblPr/>
      <w:tcPr>
        <w:tcBorders>
          <w:top w:val="nil"/>
          <w:left w:val="nil"/>
          <w:bottom w:val="nil"/>
          <w:right w:val="single" w:sz="18" w:space="0" w:color="000000"/>
          <w:insideH w:val="nil"/>
          <w:insideV w:val="nil"/>
        </w:tcBorders>
      </w:tcPr>
    </w:tblStylePr>
    <w:tblStylePr w:type="lastCol">
      <w:tblPr/>
      <w:tcPr>
        <w:tcBorders>
          <w:top w:val="nil"/>
          <w:left w:val="single" w:sz="18" w:space="0" w:color="000000"/>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aff5">
    <w:name w:val="Colorful Shading"/>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13">
    <w:name w:val="Colorful Shading Accent 1"/>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23">
    <w:name w:val="Colorful Shading Accent 2"/>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33">
    <w:name w:val="Colorful Shading Accent 3"/>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style>
  <w:style w:type="table" w:styleId="-43">
    <w:name w:val="Colorful Shading Accent 4"/>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53">
    <w:name w:val="Colorful Shading Accent 5"/>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63">
    <w:name w:val="Colorful Shading Accent 6"/>
    <w:basedOn w:val="a3"/>
    <w:uiPriority w:val="71"/>
    <w:rsid w:val="00CB0664"/>
    <w:pPr>
      <w:spacing w:after="0" w:line="240" w:lineRule="auto"/>
    </w:pPr>
    <w:rPr>
      <w:color w:val="000000"/>
      <w:sz w:val="24"/>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bCs/>
      </w:rPr>
      <w:tblPr/>
      <w:tcPr>
        <w:tcBorders>
          <w:top w:val="nil"/>
          <w:left w:val="nil"/>
          <w:bottom w:val="single" w:sz="24" w:space="0" w:color="000000"/>
          <w:right w:val="nil"/>
          <w:insideH w:val="nil"/>
          <w:insideV w:val="nil"/>
        </w:tcBorders>
      </w:tcPr>
    </w:tblStylePr>
    <w:tblStylePr w:type="lastRow">
      <w:rPr>
        <w:b/>
        <w:bCs/>
        <w:color w:val="000000"/>
      </w:rPr>
      <w:tblPr/>
      <w:tcPr>
        <w:tcBorders>
          <w:top w:val="single" w:sz="6" w:space="0" w:color="000000"/>
        </w:tcBorders>
      </w:tcPr>
    </w:tblStylePr>
    <w:tblStylePr w:type="firstCol">
      <w:rPr>
        <w:color w:val="000000"/>
      </w:rPr>
      <w:tblPr/>
      <w:tcPr>
        <w:tcBorders>
          <w:top w:val="nil"/>
          <w:left w:val="nil"/>
          <w:bottom w:val="nil"/>
          <w:right w:val="nil"/>
          <w:insideH w:val="single" w:sz="4" w:space="0" w:color="000000"/>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aff6">
    <w:name w:val="Colorful List"/>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14">
    <w:name w:val="Colorful List Accent 1"/>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24">
    <w:name w:val="Colorful List Accent 2"/>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34">
    <w:name w:val="Colorful List Accent 3"/>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44">
    <w:name w:val="Colorful List Accent 4"/>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54">
    <w:name w:val="Colorful List Accent 5"/>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64">
    <w:name w:val="Colorful List Accent 6"/>
    <w:basedOn w:val="a3"/>
    <w:uiPriority w:val="72"/>
    <w:rsid w:val="00CB0664"/>
    <w:pPr>
      <w:spacing w:after="0" w:line="240" w:lineRule="auto"/>
    </w:pPr>
    <w:rPr>
      <w:color w:val="000000"/>
      <w:sz w:val="24"/>
    </w:rPr>
    <w:tblPr>
      <w:tblStyleRowBandSize w:val="1"/>
      <w:tblStyleColBandSize w:val="1"/>
    </w:tblPr>
    <w:tblStylePr w:type="firstRow">
      <w:rPr>
        <w:b/>
        <w:bCs/>
        <w:color w:val="000000"/>
      </w:rPr>
      <w:tblPr/>
      <w:tcPr>
        <w:tcBorders>
          <w:bottom w:val="single" w:sz="12" w:space="0" w:color="000000"/>
        </w:tcBorders>
      </w:tcPr>
    </w:tblStylePr>
    <w:tblStylePr w:type="lastRow">
      <w:rPr>
        <w:b/>
        <w:bCs/>
        <w:color w:val="000000"/>
      </w:rPr>
      <w:tblPr/>
      <w:tcPr>
        <w:tcBorders>
          <w:top w:val="single" w:sz="12" w:space="0" w:color="000000"/>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aff7">
    <w:name w:val="Colorful Grid"/>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15">
    <w:name w:val="Colorful Grid Accent 1"/>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25">
    <w:name w:val="Colorful Grid Accent 2"/>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35">
    <w:name w:val="Colorful Grid Accent 3"/>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45">
    <w:name w:val="Colorful Grid Accent 4"/>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55">
    <w:name w:val="Colorful Grid Accent 5"/>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65">
    <w:name w:val="Colorful Grid Accent 6"/>
    <w:basedOn w:val="a3"/>
    <w:uiPriority w:val="73"/>
    <w:rsid w:val="00CB0664"/>
    <w:pPr>
      <w:spacing w:after="0" w:line="240" w:lineRule="auto"/>
    </w:pPr>
    <w:rPr>
      <w:color w:val="000000"/>
      <w:sz w:val="24"/>
    </w:rPr>
    <w:tblPr>
      <w:tblStyleRowBandSize w:val="1"/>
      <w:tblStyleColBandSize w:val="1"/>
      <w:tblBorders>
        <w:insideH w:val="single" w:sz="4" w:space="0" w:color="000000"/>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603</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Record 8</dc:title>
  <dc:subject/>
  <dc:creator>Kniazev Daniil</dc:creator>
  <cp:keywords/>
  <dc:description>generated by python-docx</dc:description>
  <cp:lastModifiedBy>Kniazev Daniil</cp:lastModifiedBy>
  <cp:revision>3</cp:revision>
  <dcterms:created xsi:type="dcterms:W3CDTF">2013-12-23T23:15:00Z</dcterms:created>
  <dcterms:modified xsi:type="dcterms:W3CDTF">2026-10-04T16:05:00Z</dcterms:modified>
  <cp:category/>
</cp:coreProperties>
</file>