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18CF6" w14:textId="77777777" w:rsidR="00992436" w:rsidRDefault="00000000">
      <w:pPr>
        <w:pStyle w:val="aa"/>
        <w:spacing w:before="120"/>
      </w:pPr>
      <w:r>
        <w:rPr>
          <w:szCs w:val="24"/>
        </w:rPr>
        <w:t>Weekly Record 9</w:t>
      </w:r>
    </w:p>
    <w:p w14:paraId="150999A7" w14:textId="77777777" w:rsidR="00992436" w:rsidRDefault="00000000">
      <w:r>
        <w:rPr>
          <w:szCs w:val="24"/>
        </w:rPr>
        <w:t>Kniazev Daniil | AIB-2602 | 25 October 2026</w:t>
      </w:r>
    </w:p>
    <w:p w14:paraId="2C585ECE" w14:textId="77777777" w:rsidR="00992436" w:rsidRDefault="00000000">
      <w:r>
        <w:rPr>
          <w:szCs w:val="24"/>
        </w:rPr>
        <w:t>Career capability and workforce implications</w:t>
      </w:r>
      <w:r>
        <w:rPr>
          <w:szCs w:val="24"/>
        </w:rPr>
        <w:br/>
        <w:t>Carrefour and Magnum Cash&amp;Carry</w:t>
      </w:r>
    </w:p>
    <w:p w14:paraId="5539D515" w14:textId="77777777" w:rsidR="00992436" w:rsidRDefault="00000000">
      <w:pPr>
        <w:pStyle w:val="1"/>
        <w:spacing w:before="120"/>
      </w:pPr>
      <w:r>
        <w:rPr>
          <w:szCs w:val="24"/>
        </w:rPr>
        <w:t>1  Concept</w:t>
      </w:r>
    </w:p>
    <w:p w14:paraId="26B07513" w14:textId="7A306842" w:rsidR="00992436" w:rsidRDefault="00000000">
      <w:r>
        <w:rPr>
          <w:szCs w:val="24"/>
        </w:rPr>
        <w:t>Human resource management plans the people a firm needs, then recruits, selects, trains, appraises and pays them [1]. Job analysis studies what a job involves: the job description lists its tasks, and the job specification lists the skills a person needs to do them. Training and development builds those skills on or off the job, and performance appraisal checks whether the job is being done well. A knowledge worker is valued for applying what they know rather than for physical output [1]. This week’s framework is the course’s four capability groups: human, business, digital and meta-capabilities.</w:t>
      </w:r>
    </w:p>
    <w:p w14:paraId="26B07513" w14:textId="7A306842" w:rsidR="00992436" w:rsidRDefault="00000000">
      <w:r>
        <w:rPr>
          <w:szCs w:val="24"/>
        </w:rPr>
        <w:t>Concept Check, section 8.4: how is technology affecting off-the-job training? Online courses and simulations let people train without leaving work and repeat an exercise until they can do it. Kazakhstan’s AI-Sana programme shows the scale: about 650,000 students completed a basic course in working with neural networks in its first stage [42]. When almost every graduate has taken such a course, basic AI use stops being a distinction.</w:t>
      </w:r>
    </w:p>
    <w:p w14:paraId="26B07513" w14:textId="7A306842" w:rsidR="00992436" w:rsidRDefault="00000000">
      <w:r>
        <w:rPr>
          <w:szCs w:val="24"/>
        </w:rPr>
        <w:t>Concept Check, section 9.8: how do knowledge workers differ from traditional employees? Their value depends on judgment and learning, so firms keep them through development and responsibility rather than pay alone.</w:t>
      </w:r>
    </w:p>
    <w:p w14:paraId="5539D515" w14:textId="77777777" w:rsidR="00992436" w:rsidRDefault="00000000">
      <w:pPr>
        <w:pStyle w:val="1"/>
        <w:spacing w:before="120"/>
      </w:pPr>
      <w:r>
        <w:rPr>
          <w:szCs w:val="24"/>
        </w:rPr>
        <w:t>2  Application</w:t>
      </w:r>
    </w:p>
    <w:p w14:paraId="26B07513" w14:textId="7A306842" w:rsidR="00992436" w:rsidRDefault="00000000">
      <w:r>
        <w:rPr>
          <w:szCs w:val="24"/>
        </w:rPr>
        <w:t>The Career Capability Portfolio maps the four capability groups against my Week 4 operating model, in which Magnum’s category manager keeps order approval and AI drafts forecasts under review. Magnum separates office and store vacancies, says it trains new staff itself and runs Magnum Start for students and graduates [36]. Exposure follows international evidence: clerical work is the most exposed to generative AI, although transformation is more likely than replacement [40], and seven in ten employers rate analytical thinking as essential [41].</w:t>
      </w:r>
    </w:p>
    <w:p w14:paraId="26B07513" w14:textId="7A306842" w:rsidR="00992436" w:rsidRDefault="00000000">
      <w:pPr>
        <w:keepNext/>
      </w:pPr>
      <w:r>
        <w:rPr>
          <w:b/>
          <w:sz w:val="20"/>
          <w:szCs w:val="24"/>
        </w:rPr>
        <w:t>Table 1 · Career Capability Portfolio against the Week 4 operating model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440"/>
        <w:gridCol w:w="1800"/>
        <w:gridCol w:w="1512"/>
        <w:gridCol w:w="1440"/>
        <w:gridCol w:w="1872"/>
      </w:tblGrid>
      <w:tr w:rsidR="00992436" w14:paraId="0A03E11B" w14:textId="77777777">
        <w:trPr>
          <w:cantSplit/>
          <w:tblHeader/>
          <w:jc w:val="center"/>
          <w:cantSplit/>
        </w:trPr>
        <w:tc>
          <w:tcPr>
            <w:tcW w:w="1872" w:type="dxa"/>
            <w:tcMar>
              <w:top w:w="95" w:type="dxa"/>
              <w:left w:w="85" w:type="dxa"/>
              <w:bottom w:w="95" w:type="dxa"/>
              <w:right w:w="85" w:type="dxa"/>
            </w:tcMar>
            <w:vAlign w:val="center"/>
          </w:tcPr>
          <w:p w14:paraId="56EAB324" w14:textId="77777777" w:rsidR="00992436" w:rsidRDefault="00000000">
            <w:pPr>
              <w:spacing w:after="40" w:line="252" w:lineRule="auto"/>
            </w:pPr>
            <w:r>
              <w:rPr>
                <w:b/>
                <w:sz w:val="20"/>
                <w:szCs w:val="20"/>
              </w:rPr>
              <w:t>Week 4 task</w:t>
            </w:r>
          </w:p>
        </w:tc>
        <w:tc>
          <w:tcPr>
            <w:tcW w:w="1440" w:type="dxa"/>
            <w:tcMar>
              <w:top w:w="95" w:type="dxa"/>
              <w:left w:w="85" w:type="dxa"/>
              <w:bottom w:w="95" w:type="dxa"/>
              <w:right w:w="85" w:type="dxa"/>
            </w:tcMar>
            <w:vAlign w:val="center"/>
          </w:tcPr>
          <w:p w14:paraId="04E74360" w14:textId="77777777" w:rsidR="00992436" w:rsidRDefault="00000000">
            <w:pPr>
              <w:spacing w:after="40" w:line="252" w:lineRule="auto"/>
            </w:pPr>
            <w:r>
              <w:rPr>
                <w:b/>
                <w:sz w:val="20"/>
                <w:szCs w:val="20"/>
              </w:rPr>
              <w:t>Human</w:t>
            </w:r>
          </w:p>
        </w:tc>
        <w:tc>
          <w:tcPr>
            <w:tcW w:w="1800"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Business</w:t>
            </w:r>
          </w:p>
        </w:tc>
        <w:tc>
          <w:tcPr>
            <w:tcW w:w="1512"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Digital</w:t>
            </w:r>
          </w:p>
        </w:tc>
        <w:tc>
          <w:tcPr>
            <w:tcW w:w="1440"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Meta</w:t>
            </w:r>
          </w:p>
        </w:tc>
        <w:tc>
          <w:tcPr>
            <w:tcW w:w="1872"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Value for a graduate</w:t>
            </w:r>
          </w:p>
        </w:tc>
      </w:tr>
      <w:tr w:rsidR="00992436" w14:paraId="4D8D46F1" w14:textId="77777777">
        <w:trPr>
          <w:cantSplit/>
          <w:jc w:val="center"/>
          <w:cantSplit/>
        </w:trPr>
        <w:tc>
          <w:tcPr>
            <w:tcW w:w="1872"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Human Only: approve the final order</w:t>
            </w:r>
          </w:p>
        </w:tc>
        <w:tc>
          <w:tcPr>
            <w:tcW w:w="1440"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Accountability; supplier negotiation</w:t>
            </w:r>
          </w:p>
        </w:tc>
        <w:tc>
          <w:tcPr>
            <w:tcW w:w="180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Budget, margin and shelf life; reading the Week 8 ratios</w:t>
            </w:r>
          </w:p>
        </w:tc>
        <w:tc>
          <w:tcPr>
            <w:tcW w:w="151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Forecast-error dashboards</w:t>
            </w:r>
          </w:p>
        </w:tc>
        <w:tc>
          <w:tcPr>
            <w:tcW w:w="144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Deciding under uncertainty and explaining it</w:t>
            </w:r>
          </w:p>
        </w:tc>
        <w:tc>
          <w:tcPr>
            <w:tcW w:w="187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High: authority stays with a named person [16]</w:t>
            </w:r>
          </w:p>
        </w:tc>
      </w:tr>
      <w:tr w:rsidR="00992436" w14:paraId="4D8D46F1" w14:textId="77777777">
        <w:trPr>
          <w:cantSplit/>
          <w:jc w:val="center"/>
          <w:cantSplit/>
        </w:trPr>
        <w:tc>
          <w:tcPr>
            <w:tcW w:w="1872"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Human + AI: interpret promotions and unusual demand</w:t>
            </w:r>
          </w:p>
        </w:tc>
        <w:tc>
          <w:tcPr>
            <w:tcW w:w="1440"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Store knowledge; communication</w:t>
            </w:r>
          </w:p>
        </w:tc>
        <w:tc>
          <w:tcPr>
            <w:tcW w:w="180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Promotion economics (Week 6: the deepest discount is not the most useful)</w:t>
            </w:r>
          </w:p>
        </w:tc>
        <w:tc>
          <w:tcPr>
            <w:tcW w:w="151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Challenging model output</w:t>
            </w:r>
          </w:p>
        </w:tc>
        <w:tc>
          <w:tcPr>
            <w:tcW w:w="144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Noticing when the model is wrong</w:t>
            </w:r>
          </w:p>
        </w:tc>
        <w:tc>
          <w:tcPr>
            <w:tcW w:w="187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High, and rises as AI output grows</w:t>
            </w:r>
          </w:p>
        </w:tc>
      </w:tr>
      <w:tr w:rsidR="00992436" w14:paraId="4D8D46F1" w14:textId="77777777">
        <w:trPr>
          <w:cantSplit/>
          <w:jc w:val="center"/>
          <w:cantSplit/>
        </w:trPr>
        <w:tc>
          <w:tcPr>
            <w:tcW w:w="1872"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AI Executes with Human Review: draft forecasts and quantities</w:t>
            </w:r>
          </w:p>
        </w:tc>
        <w:tc>
          <w:tcPr>
            <w:tcW w:w="1440"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Attention to detail</w:t>
            </w:r>
          </w:p>
        </w:tc>
        <w:tc>
          <w:tcPr>
            <w:tcW w:w="180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Supplier lead times and minimum orders</w:t>
            </w:r>
          </w:p>
        </w:tc>
        <w:tc>
          <w:tcPr>
            <w:tcW w:w="151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Spreadsheet and data checks (the four Week 8 checks)</w:t>
            </w:r>
          </w:p>
        </w:tc>
        <w:tc>
          <w:tcPr>
            <w:tcW w:w="144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Verification habit</w:t>
            </w:r>
          </w:p>
        </w:tc>
        <w:tc>
          <w:tcPr>
            <w:tcW w:w="187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Drafting shrinks, reviewing grows: fewer, better-prepared juniors</w:t>
            </w:r>
          </w:p>
        </w:tc>
      </w:tr>
      <w:tr w:rsidR="00992436" w14:paraId="4D8D46F1" w14:textId="77777777">
        <w:trPr>
          <w:cantSplit/>
          <w:jc w:val="center"/>
          <w:cantSplit/>
        </w:trPr>
        <w:tc>
          <w:tcPr>
            <w:tcW w:w="1872"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Automated: data checks and approval logs</w:t>
            </w:r>
          </w:p>
        </w:tc>
        <w:tc>
          <w:tcPr>
            <w:tcW w:w="1440"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w:t>
            </w:r>
          </w:p>
        </w:tc>
        <w:tc>
          <w:tcPr>
            <w:tcW w:w="180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Process ownership</w:t>
            </w:r>
          </w:p>
        </w:tc>
        <w:tc>
          <w:tcPr>
            <w:tcW w:w="151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Data-quality rules and logs</w:t>
            </w:r>
          </w:p>
        </w:tc>
        <w:tc>
          <w:tcPr>
            <w:tcW w:w="144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Governance (Week 7 approval log)</w:t>
            </w:r>
          </w:p>
        </w:tc>
        <w:tc>
          <w:tcPr>
            <w:tcW w:w="187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Low in execution, moderate in design</w:t>
            </w:r>
          </w:p>
        </w:tc>
      </w:tr>
      <w:tr w:rsidR="00992436" w14:paraId="4D8D46F1" w14:textId="77777777">
        <w:trPr>
          <w:cantSplit/>
          <w:jc w:val="center"/>
          <w:cantSplit/>
        </w:trPr>
        <w:tc>
          <w:tcPr>
            <w:tcW w:w="1872"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Store customer service (where Carrefour redeploys staff [37])</w:t>
            </w:r>
          </w:p>
        </w:tc>
        <w:tc>
          <w:tcPr>
            <w:tcW w:w="1440"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Empathy; Kazakh and Russian</w:t>
            </w:r>
          </w:p>
        </w:tc>
        <w:tc>
          <w:tcPr>
            <w:tcW w:w="180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Service recovery</w:t>
            </w:r>
          </w:p>
        </w:tc>
        <w:tc>
          <w:tcPr>
            <w:tcW w:w="151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In-store systems</w:t>
            </w:r>
          </w:p>
        </w:tc>
        <w:tc>
          <w:tcPr>
            <w:tcW w:w="1440"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Resilience</w:t>
            </w:r>
          </w:p>
        </w:tc>
        <w:tc>
          <w:tcPr>
            <w:tcW w:w="187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Stable: human interaction shows no substitution potential [41]</w:t>
            </w:r>
          </w:p>
        </w:tc>
      </w:tr>
    </w:tbl>
    <w:p w14:paraId="26B07513" w14:textId="7A306842" w:rsidR="00992436" w:rsidRDefault="00000000">
      <w:r>
        <w:rPr>
          <w:szCs w:val="24"/>
        </w:rPr>
        <w:t>Workforce implication: the most exposed entry task is drafting numbers and reports; the capabilities that keep their value are approving, interpreting and verifying. A graduate entering this model should therefore build ratio and margin literacy, data checking, and the ability to explain a decision to a manager.</w:t>
      </w:r>
    </w:p>
    <w:p w14:paraId="5539D515" w14:textId="77777777" w:rsidR="00992436" w:rsidRDefault="00000000">
      <w:pPr>
        <w:pStyle w:val="1"/>
        <w:spacing w:before="120"/>
      </w:pPr>
      <w:r>
        <w:rPr>
          <w:szCs w:val="24"/>
        </w:rPr>
        <w:t>References</w:t>
      </w:r>
    </w:p>
    <w:p w14:paraId="26B07513" w14:textId="7A306842" w:rsidR="00992436" w:rsidRDefault="00000000">
      <w:r>
        <w:rPr>
          <w:szCs w:val="24"/>
        </w:rPr>
        <w:t>Source numbers and full links are in the cumulative Evidence Folder.</w:t>
      </w:r>
    </w:p>
    <w:p w14:paraId="26B07513" w14:textId="7A306842" w:rsidR="00992436" w:rsidRDefault="00000000">
      <w:r>
        <w:rPr>
          <w:szCs w:val="24"/>
        </w:rPr>
        <w:t>[1] L. J. Gitman et al., Introduction to Business, 2nd ed. OpenStax, 2026, secs. 8.1, 8.4 and 9.8.</w:t>
      </w:r>
    </w:p>
    <w:p w14:paraId="26B07513" w14:textId="7A306842" w:rsidR="00992436" w:rsidRDefault="00000000">
      <w:r>
        <w:rPr>
          <w:szCs w:val="24"/>
        </w:rPr>
        <w:t>[16] NIST, “Artificial Intelligence Risk Management Framework AI RMF 1.0,” NIST AI 100-1, Jan. 2023, GOVERN 2.1–2.3.</w:t>
      </w:r>
    </w:p>
    <w:p w14:paraId="26B07513" w14:textId="7A306842" w:rsidR="00992436" w:rsidRDefault="00000000">
      <w:r>
        <w:rPr>
          <w:szCs w:val="24"/>
        </w:rPr>
        <w:t>[36] Magnum Cash&amp;Carry, “Magnum HR,” careers website, n.d. Accessed: Oct. 24, 2026.</w:t>
      </w:r>
    </w:p>
    <w:p w14:paraId="26B07513" w14:textId="7A306842" w:rsidR="00992436" w:rsidRDefault="00000000">
      <w:r>
        <w:rPr>
          <w:szCs w:val="24"/>
        </w:rPr>
        <w:t>[37] Vusion and Carrefour, “Carrefour and Vusion join forces to deploy the smart store at scale,” press release, Feb. 18, 2026.</w:t>
      </w:r>
    </w:p>
    <w:p w14:paraId="26B07513" w14:textId="7A306842" w:rsidR="00992436" w:rsidRDefault="00000000">
      <w:r>
        <w:rPr>
          <w:szCs w:val="24"/>
        </w:rPr>
        <w:t>[40] P. Gmyrek et al., “Generative AI and jobs: A refined global index of occupational exposure,” ILO Working Paper 140, May 2025.</w:t>
      </w:r>
    </w:p>
    <w:p w14:paraId="26B07513" w14:textId="7A306842" w:rsidR="00992436" w:rsidRDefault="00000000">
      <w:r>
        <w:rPr>
          <w:szCs w:val="24"/>
        </w:rPr>
        <w:t>[41] World Economic Forum, “The Future of Jobs Report 2025,” Jan. 2025.</w:t>
      </w:r>
    </w:p>
    <w:p w14:paraId="26B07513" w14:textId="7A306842" w:rsidR="00992436" w:rsidRDefault="00000000">
      <w:r>
        <w:rPr>
          <w:szCs w:val="24"/>
        </w:rPr>
        <w:t>[42] 24.kz, “Базовый курс по ИИ завершили около 650 тысяч казахстанских студентов,” May 16, 2025.</w:t>
      </w:r>
    </w:p>
    <w:sectPr w:rsidR="00992436" w:rsidSect="00034616">
      <w:footerReference w:type="default" r:id="rId8"/>
      <w:pgSz w:w="11905" w:h="16838"/>
      <w:pgMar w:top="1008" w:right="936" w:bottom="1008" w:left="936"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F6599B" w14:textId="77777777" w:rsidR="007B156B" w:rsidRDefault="007B156B">
      <w:pPr>
        <w:spacing w:after="0" w:line="240" w:lineRule="auto"/>
      </w:pPr>
      <w:r>
        <w:separator/>
      </w:r>
    </w:p>
  </w:endnote>
  <w:endnote w:type="continuationSeparator" w:id="0">
    <w:p w14:paraId="263AD20D" w14:textId="77777777" w:rsidR="007B156B" w:rsidRDefault="007B1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5E1EF" w14:textId="77777777" w:rsidR="00992436" w:rsidRDefault="00000000">
    <w:pPr>
      <w:pStyle w:val="a7"/>
      <w:jc w:val="right"/>
    </w:pPr>
    <w:r>
      <w:fldChar w:fldCharType="begin"/>
    </w:r>
    <w:r>
      <w:instrText>PAGE</w:instrText>
    </w:r>
    <w:r>
      <w:fldChar w:fldCharType="separate"/>
    </w:r>
    <w:r w:rsidR="007E62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6551D5" w14:textId="77777777" w:rsidR="007B156B" w:rsidRDefault="007B156B">
      <w:pPr>
        <w:spacing w:after="0" w:line="240" w:lineRule="auto"/>
      </w:pPr>
      <w:r>
        <w:separator/>
      </w:r>
    </w:p>
  </w:footnote>
  <w:footnote w:type="continuationSeparator" w:id="0">
    <w:p w14:paraId="35A4F557" w14:textId="77777777" w:rsidR="007B156B" w:rsidRDefault="007B1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eastAsia="Times New Roman" w:hAnsi="Times New Roman" w:cs="Times New Roman"/>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eastAsia="Times New Roman" w:hAnsi="Times New Roman" w:cs="Times New Roman"/>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eastAsia="Times New Roman" w:hAnsi="Times New Roman" w:cs="Times New Roman"/>
      </w:rPr>
    </w:lvl>
  </w:abstractNum>
  <w:num w:numId="1" w16cid:durableId="610206292">
    <w:abstractNumId w:val="8"/>
  </w:num>
  <w:num w:numId="2" w16cid:durableId="1012293685">
    <w:abstractNumId w:val="6"/>
  </w:num>
  <w:num w:numId="3" w16cid:durableId="1136485156">
    <w:abstractNumId w:val="5"/>
  </w:num>
  <w:num w:numId="4" w16cid:durableId="2021084290">
    <w:abstractNumId w:val="4"/>
  </w:num>
  <w:num w:numId="5" w16cid:durableId="537133056">
    <w:abstractNumId w:val="7"/>
  </w:num>
  <w:num w:numId="6" w16cid:durableId="128910391">
    <w:abstractNumId w:val="3"/>
  </w:num>
  <w:num w:numId="7" w16cid:durableId="175118694">
    <w:abstractNumId w:val="2"/>
  </w:num>
  <w:num w:numId="8" w16cid:durableId="1815833456">
    <w:abstractNumId w:val="1"/>
  </w:num>
  <w:num w:numId="9" w16cid:durableId="2057253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156B"/>
    <w:rsid w:val="007E6244"/>
    <w:rsid w:val="00992436"/>
    <w:rsid w:val="00AA1D8D"/>
    <w:rsid w:val="00B47730"/>
    <w:rsid w:val="00CB0664"/>
    <w:rsid w:val="00DC5DE7"/>
    <w:rsid w:val="00F44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DE23A"/>
  <w14:defaultImageDpi w14:val="300"/>
  <w15:docId w15:val="{3C475E02-5661-5148-84F6-6BE0A783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color w:val="000000"/>
      <w:sz w:val="24"/>
    </w:rPr>
  </w:style>
  <w:style w:type="paragraph" w:styleId="1">
    <w:name w:val="heading 1"/>
    <w:basedOn w:val="a1"/>
    <w:next w:val="a1"/>
    <w:link w:val="10"/>
    <w:uiPriority w:val="9"/>
    <w:qFormat/>
    <w:rsid w:val="00FC693F"/>
    <w:pPr>
      <w:keepNext/>
      <w:keepLines/>
      <w:outlineLvl w:val="0"/>
    </w:pPr>
    <w:rPr>
      <w:b/>
      <w:bCs/>
      <w:szCs w:val="28"/>
    </w:rPr>
  </w:style>
  <w:style w:type="paragraph" w:styleId="21">
    <w:name w:val="heading 2"/>
    <w:basedOn w:val="a1"/>
    <w:next w:val="a1"/>
    <w:link w:val="22"/>
    <w:uiPriority w:val="9"/>
    <w:unhideWhenUsed/>
    <w:qFormat/>
    <w:rsid w:val="00FC693F"/>
    <w:pPr>
      <w:keepNext/>
      <w:keepLines/>
      <w:outlineLvl w:val="1"/>
    </w:pPr>
    <w:rPr>
      <w:b/>
      <w:bCs/>
      <w:szCs w:val="26"/>
    </w:rPr>
  </w:style>
  <w:style w:type="paragraph" w:styleId="31">
    <w:name w:val="heading 3"/>
    <w:basedOn w:val="a1"/>
    <w:next w:val="a1"/>
    <w:link w:val="32"/>
    <w:uiPriority w:val="9"/>
    <w:unhideWhenUsed/>
    <w:qFormat/>
    <w:rsid w:val="00FC693F"/>
    <w:pPr>
      <w:keepNext/>
      <w:keepLines/>
      <w:outlineLvl w:val="2"/>
    </w:pPr>
    <w:rPr>
      <w:b/>
      <w:bCs/>
    </w:rPr>
  </w:style>
  <w:style w:type="paragraph" w:styleId="4">
    <w:name w:val="heading 4"/>
    <w:basedOn w:val="a1"/>
    <w:next w:val="a1"/>
    <w:link w:val="40"/>
    <w:uiPriority w:val="9"/>
    <w:semiHidden/>
    <w:unhideWhenUsed/>
    <w:qFormat/>
    <w:rsid w:val="00FC693F"/>
    <w:pPr>
      <w:keepNext/>
      <w:keepLines/>
      <w:outlineLvl w:val="3"/>
    </w:pPr>
    <w:rPr>
      <w:b/>
      <w:bCs/>
      <w:i/>
      <w:iCs/>
    </w:rPr>
  </w:style>
  <w:style w:type="paragraph" w:styleId="5">
    <w:name w:val="heading 5"/>
    <w:basedOn w:val="a1"/>
    <w:next w:val="a1"/>
    <w:link w:val="50"/>
    <w:uiPriority w:val="9"/>
    <w:semiHidden/>
    <w:unhideWhenUsed/>
    <w:qFormat/>
    <w:rsid w:val="00FC693F"/>
    <w:pPr>
      <w:keepNext/>
      <w:keepLines/>
      <w:outlineLvl w:val="4"/>
    </w:pPr>
  </w:style>
  <w:style w:type="paragraph" w:styleId="6">
    <w:name w:val="heading 6"/>
    <w:basedOn w:val="a1"/>
    <w:next w:val="a1"/>
    <w:link w:val="60"/>
    <w:uiPriority w:val="9"/>
    <w:semiHidden/>
    <w:unhideWhenUsed/>
    <w:qFormat/>
    <w:rsid w:val="00FC693F"/>
    <w:pPr>
      <w:keepNext/>
      <w:keepLines/>
      <w:outlineLvl w:val="5"/>
    </w:pPr>
    <w:rPr>
      <w:i/>
      <w:iCs/>
    </w:rPr>
  </w:style>
  <w:style w:type="paragraph" w:styleId="7">
    <w:name w:val="heading 7"/>
    <w:basedOn w:val="a1"/>
    <w:next w:val="a1"/>
    <w:link w:val="70"/>
    <w:uiPriority w:val="9"/>
    <w:semiHidden/>
    <w:unhideWhenUsed/>
    <w:qFormat/>
    <w:rsid w:val="00FC693F"/>
    <w:pPr>
      <w:keepNext/>
      <w:keepLines/>
      <w:outlineLvl w:val="6"/>
    </w:pPr>
    <w:rPr>
      <w:i/>
      <w:iCs/>
    </w:rPr>
  </w:style>
  <w:style w:type="paragraph" w:styleId="8">
    <w:name w:val="heading 8"/>
    <w:basedOn w:val="a1"/>
    <w:next w:val="a1"/>
    <w:link w:val="80"/>
    <w:uiPriority w:val="9"/>
    <w:semiHidden/>
    <w:unhideWhenUsed/>
    <w:qFormat/>
    <w:rsid w:val="00FC693F"/>
    <w:pPr>
      <w:keepNext/>
      <w:keepLines/>
      <w:outlineLvl w:val="7"/>
    </w:pPr>
    <w:rPr>
      <w:szCs w:val="20"/>
    </w:rPr>
  </w:style>
  <w:style w:type="paragraph" w:styleId="9">
    <w:name w:val="heading 9"/>
    <w:basedOn w:val="a1"/>
    <w:next w:val="a1"/>
    <w:link w:val="90"/>
    <w:uiPriority w:val="9"/>
    <w:semiHidden/>
    <w:unhideWhenUsed/>
    <w:qFormat/>
    <w:rsid w:val="00FC693F"/>
    <w:pPr>
      <w:keepNext/>
      <w:keepLines/>
      <w:outlineLvl w:val="8"/>
    </w:pPr>
    <w:rPr>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rPr>
      <w:rFonts w:ascii="Times New Roman" w:eastAsia="Times New Roman" w:hAnsi="Times New Roman" w:cs="Times New Roman"/>
      <w:color w:val="000000"/>
      <w:sz w:val="24"/>
    </w:rPr>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rPr>
      <w:rFonts w:ascii="Times New Roman" w:eastAsia="Times New Roman" w:hAnsi="Times New Roman" w:cs="Times New Roman"/>
      <w:color w:val="000000"/>
      <w:sz w:val="24"/>
    </w:rPr>
  </w:style>
  <w:style w:type="paragraph" w:styleId="a9">
    <w:name w:val="No Spacing"/>
    <w:uiPriority w:val="1"/>
    <w:qFormat/>
    <w:rsid w:val="00FC693F"/>
    <w:pPr>
      <w:spacing w:after="120"/>
    </w:pPr>
    <w:rPr>
      <w:color w:val="000000"/>
      <w:sz w:val="24"/>
    </w:r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000000"/>
      <w:sz w:val="24"/>
      <w:szCs w:val="28"/>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000000"/>
      <w:sz w:val="24"/>
      <w:szCs w:val="26"/>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000000"/>
      <w:sz w:val="24"/>
    </w:rPr>
  </w:style>
  <w:style w:type="paragraph" w:styleId="aa">
    <w:name w:val="Title"/>
    <w:basedOn w:val="a1"/>
    <w:next w:val="a1"/>
    <w:link w:val="ab"/>
    <w:uiPriority w:val="10"/>
    <w:qFormat/>
    <w:rsid w:val="00FC693F"/>
    <w:pPr>
      <w:keepNext/>
      <w:contextualSpacing/>
    </w:pPr>
    <w:rPr>
      <w:spacing w:val="5"/>
      <w:kern w:val="28"/>
      <w:szCs w:val="52"/>
    </w:rPr>
  </w:style>
  <w:style w:type="character" w:customStyle="1" w:styleId="ab">
    <w:name w:val="Заголовок Знак"/>
    <w:basedOn w:val="a2"/>
    <w:link w:val="aa"/>
    <w:uiPriority w:val="10"/>
    <w:rsid w:val="00FC693F"/>
    <w:rPr>
      <w:rFonts w:ascii="Times New Roman" w:eastAsia="Times New Roman" w:hAnsi="Times New Roman" w:cs="Times New Roman"/>
      <w:color w:val="000000"/>
      <w:spacing w:val="5"/>
      <w:kern w:val="28"/>
      <w:sz w:val="24"/>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Подзаголовок Знак"/>
    <w:basedOn w:val="a2"/>
    <w:link w:val="ac"/>
    <w:uiPriority w:val="11"/>
    <w:rsid w:val="00FC693F"/>
    <w:rPr>
      <w:rFonts w:ascii="Times New Roman" w:eastAsia="Times New Roman" w:hAnsi="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rPr>
      <w:rFonts w:ascii="Times New Roman" w:eastAsia="Times New Roman" w:hAnsi="Times New Roman" w:cs="Times New Roman"/>
      <w:color w:val="000000"/>
      <w:sz w:val="24"/>
    </w:rPr>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rPr>
      <w:rFonts w:ascii="Times New Roman" w:eastAsia="Times New Roman" w:hAnsi="Times New Roman" w:cs="Times New Roman"/>
      <w:color w:val="000000"/>
      <w:sz w:val="24"/>
    </w:rPr>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rFonts w:ascii="Times New Roman" w:eastAsia="Times New Roman" w:hAnsi="Times New Roman" w:cs="Times New Roman"/>
      <w:color w:val="000000"/>
      <w:sz w:val="24"/>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120"/>
    </w:pPr>
    <w:rPr>
      <w:color w:val="000000"/>
      <w:sz w:val="24"/>
      <w:szCs w:val="20"/>
    </w:rPr>
  </w:style>
  <w:style w:type="character" w:customStyle="1" w:styleId="af4">
    <w:name w:val="Текст макроса Знак"/>
    <w:basedOn w:val="a2"/>
    <w:link w:val="af3"/>
    <w:uiPriority w:val="99"/>
    <w:rsid w:val="0029639D"/>
    <w:rPr>
      <w:rFonts w:ascii="Times New Roman" w:eastAsia="Times New Roman" w:hAnsi="Times New Roman" w:cs="Times New Roman"/>
      <w:color w:val="000000"/>
      <w:sz w:val="24"/>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rFonts w:ascii="Times New Roman" w:eastAsia="Times New Roman" w:hAnsi="Times New Roman" w:cs="Times New Roman"/>
      <w:i/>
      <w:iCs/>
      <w:color w:val="000000"/>
      <w:sz w:val="24"/>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000000"/>
      <w:sz w:val="24"/>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000000"/>
      <w:sz w:val="24"/>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000000"/>
      <w:sz w:val="24"/>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000000"/>
      <w:sz w:val="24"/>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000000"/>
      <w:sz w:val="24"/>
      <w:szCs w:val="20"/>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000000"/>
      <w:sz w:val="24"/>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rFonts w:ascii="Times New Roman" w:eastAsia="Times New Roman" w:hAnsi="Times New Roman" w:cs="Times New Roman"/>
      <w:b/>
      <w:bCs/>
      <w:color w:val="000000"/>
      <w:sz w:val="24"/>
    </w:rPr>
  </w:style>
  <w:style w:type="character" w:styleId="af7">
    <w:name w:val="Emphasis"/>
    <w:basedOn w:val="a2"/>
    <w:uiPriority w:val="20"/>
    <w:qFormat/>
    <w:rsid w:val="00FC693F"/>
    <w:rPr>
      <w:rFonts w:ascii="Times New Roman" w:eastAsia="Times New Roman" w:hAnsi="Times New Roman" w:cs="Times New Roman"/>
      <w:i/>
      <w:iCs/>
      <w:color w:val="000000"/>
      <w:sz w:val="24"/>
    </w:rPr>
  </w:style>
  <w:style w:type="paragraph" w:styleId="af8">
    <w:name w:val="Intense Quote"/>
    <w:basedOn w:val="a1"/>
    <w:next w:val="a1"/>
    <w:link w:val="af9"/>
    <w:uiPriority w:val="30"/>
    <w:qFormat/>
    <w:rsid w:val="00FC693F"/>
    <w:pPr>
      <w:ind w:left="936" w:right="936"/>
    </w:pPr>
    <w:rPr>
      <w:b/>
      <w:bCs/>
      <w:i/>
      <w:iCs/>
    </w:rPr>
  </w:style>
  <w:style w:type="character" w:customStyle="1" w:styleId="af9">
    <w:name w:val="Выделенная цитата Знак"/>
    <w:basedOn w:val="a2"/>
    <w:link w:val="af8"/>
    <w:uiPriority w:val="30"/>
    <w:rsid w:val="00FC693F"/>
    <w:rPr>
      <w:rFonts w:ascii="Times New Roman" w:eastAsia="Times New Roman" w:hAnsi="Times New Roman" w:cs="Times New Roman"/>
      <w:b/>
      <w:bCs/>
      <w:i/>
      <w:iCs/>
      <w:color w:val="000000"/>
      <w:sz w:val="24"/>
    </w:rPr>
  </w:style>
  <w:style w:type="character" w:styleId="afa">
    <w:name w:val="Subtle Emphasis"/>
    <w:basedOn w:val="a2"/>
    <w:uiPriority w:val="19"/>
    <w:qFormat/>
    <w:rsid w:val="00FC693F"/>
    <w:rPr>
      <w:rFonts w:ascii="Times New Roman" w:eastAsia="Times New Roman" w:hAnsi="Times New Roman" w:cs="Times New Roman"/>
      <w:i/>
      <w:iCs/>
      <w:color w:val="000000"/>
      <w:sz w:val="24"/>
    </w:rPr>
  </w:style>
  <w:style w:type="character" w:styleId="afb">
    <w:name w:val="Intense Emphasis"/>
    <w:basedOn w:val="a2"/>
    <w:uiPriority w:val="21"/>
    <w:qFormat/>
    <w:rsid w:val="00FC693F"/>
    <w:rPr>
      <w:rFonts w:ascii="Times New Roman" w:eastAsia="Times New Roman" w:hAnsi="Times New Roman" w:cs="Times New Roman"/>
      <w:b/>
      <w:bCs/>
      <w:i/>
      <w:iCs/>
      <w:color w:val="000000"/>
      <w:sz w:val="24"/>
    </w:rPr>
  </w:style>
  <w:style w:type="character" w:styleId="afc">
    <w:name w:val="Subtle Reference"/>
    <w:basedOn w:val="a2"/>
    <w:uiPriority w:val="31"/>
    <w:qFormat/>
    <w:rsid w:val="00FC693F"/>
    <w:rPr>
      <w:rFonts w:ascii="Times New Roman" w:eastAsia="Times New Roman" w:hAnsi="Times New Roman" w:cs="Times New Roman"/>
      <w:smallCaps/>
      <w:color w:val="000000"/>
      <w:sz w:val="24"/>
      <w:u w:val="single"/>
    </w:rPr>
  </w:style>
  <w:style w:type="character" w:styleId="afd">
    <w:name w:val="Intense Reference"/>
    <w:basedOn w:val="a2"/>
    <w:uiPriority w:val="32"/>
    <w:qFormat/>
    <w:rsid w:val="00FC693F"/>
    <w:rPr>
      <w:rFonts w:ascii="Times New Roman" w:eastAsia="Times New Roman" w:hAnsi="Times New Roman" w:cs="Times New Roman"/>
      <w:b/>
      <w:bCs/>
      <w:smallCaps/>
      <w:color w:val="000000"/>
      <w:spacing w:val="5"/>
      <w:sz w:val="24"/>
      <w:u w:val="single"/>
    </w:rPr>
  </w:style>
  <w:style w:type="character" w:styleId="afe">
    <w:name w:val="Book Title"/>
    <w:basedOn w:val="a2"/>
    <w:uiPriority w:val="33"/>
    <w:qFormat/>
    <w:rsid w:val="00FC693F"/>
    <w:rPr>
      <w:rFonts w:ascii="Times New Roman" w:eastAsia="Times New Roman" w:hAnsi="Times New Roman" w:cs="Times New Roman"/>
      <w:b/>
      <w:bCs/>
      <w:smallCaps/>
      <w:color w:val="000000"/>
      <w:spacing w:val="5"/>
      <w:sz w:val="24"/>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color w:val="000000"/>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1">
    <w:name w:val="Light Shading"/>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1">
    <w:name w:val="Light Shading Accent 1"/>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2">
    <w:name w:val="Light Shading Accent 2"/>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3">
    <w:name w:val="Light Shading Accent 3"/>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4">
    <w:name w:val="Light Shading Accent 4"/>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5">
    <w:name w:val="Light Shading Accent 5"/>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6">
    <w:name w:val="Light Shading Accent 6"/>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aff2">
    <w:name w:val="Light List"/>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0">
    <w:name w:val="Light List Accent 2"/>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30">
    <w:name w:val="Light List Accent 3"/>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40">
    <w:name w:val="Light List Accent 4"/>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50">
    <w:name w:val="Light List Accent 5"/>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60">
    <w:name w:val="Light List Accent 6"/>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3">
    <w:name w:val="Light Grid"/>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1">
    <w:name w:val="Light Grid Accent 2"/>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31">
    <w:name w:val="Light Grid Accent 3"/>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1">
    <w:name w:val="Light Grid Accent 4"/>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51">
    <w:name w:val="Light Grid Accent 5"/>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61">
    <w:name w:val="Light Grid Accent 6"/>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Medium Shading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1">
    <w:name w:val="Medium Shading 2 Accent 1"/>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2">
    <w:name w:val="Medium Shading 2 Accent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3">
    <w:name w:val="Medium Shading 2 Accent 3"/>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4">
    <w:name w:val="Medium Shading 2 Accent 4"/>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5">
    <w:name w:val="Medium Shading 2 Accent 5"/>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6">
    <w:name w:val="Medium Shading 2 Accent 6"/>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12">
    <w:name w:val="Medium Lis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10">
    <w:name w:val="Medium List 1 Accen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20">
    <w:name w:val="Medium List 1 Accent 2"/>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30">
    <w:name w:val="Medium List 1 Accent 3"/>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40">
    <w:name w:val="Medium List 1 Accent 4"/>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50">
    <w:name w:val="Medium List 1 Accent 5"/>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60">
    <w:name w:val="Medium List 1 Accent 6"/>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2a">
    <w:name w:val="Medium Lis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13">
    <w:name w:val="Medium Grid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11">
    <w:name w:val="Medium Grid 1 Accent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21">
    <w:name w:val="Medium Grid 1 Accent 2"/>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31">
    <w:name w:val="Medium Grid 1 Accent 3"/>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41">
    <w:name w:val="Medium Grid 1 Accent 4"/>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51">
    <w:name w:val="Medium Grid 1 Accent 5"/>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61">
    <w:name w:val="Medium Grid 1 Accent 6"/>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2b">
    <w:name w:val="Medium Grid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11">
    <w:name w:val="Medium Grid 2 Accent 1"/>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21">
    <w:name w:val="Medium Grid 2 Accent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31">
    <w:name w:val="Medium Grid 2 Accent 3"/>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41">
    <w:name w:val="Medium Grid 2 Accent 4"/>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51">
    <w:name w:val="Medium Grid 2 Accent 5"/>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61">
    <w:name w:val="Medium Grid 2 Accent 6"/>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37">
    <w:name w:val="Medium Grid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1">
    <w:name w:val="Medium Grid 3 Accent 1"/>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2">
    <w:name w:val="Medium Grid 3 Accent 2"/>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3">
    <w:name w:val="Medium Grid 3 Accent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4">
    <w:name w:val="Medium Grid 3 Accent 4"/>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5">
    <w:name w:val="Medium Grid 3 Accent 5"/>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6">
    <w:name w:val="Medium Grid 3 Accent 6"/>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aff4">
    <w:name w:val="Dark List"/>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12">
    <w:name w:val="Dark List Accent 1"/>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22">
    <w:name w:val="Dark List Accent 2"/>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32">
    <w:name w:val="Dark List Accent 3"/>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42">
    <w:name w:val="Dark List Accent 4"/>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52">
    <w:name w:val="Dark List Accent 5"/>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62">
    <w:name w:val="Dark List Accent 6"/>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aff5">
    <w:name w:val="Colorful Shading"/>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style>
  <w:style w:type="table" w:styleId="-43">
    <w:name w:val="Colorful Shading Accent 4"/>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14">
    <w:name w:val="Colorful List Accent 1"/>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24">
    <w:name w:val="Colorful List Accent 2"/>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34">
    <w:name w:val="Colorful List Accent 3"/>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44">
    <w:name w:val="Colorful List Accent 4"/>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54">
    <w:name w:val="Colorful List Accent 5"/>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64">
    <w:name w:val="Colorful List Accent 6"/>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aff7">
    <w:name w:val="Colorful Grid"/>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15">
    <w:name w:val="Colorful Grid Accent 1"/>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25">
    <w:name w:val="Colorful Grid Accent 2"/>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35">
    <w:name w:val="Colorful Grid Accent 3"/>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45">
    <w:name w:val="Colorful Grid Accent 4"/>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55">
    <w:name w:val="Colorful Grid Accent 5"/>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65">
    <w:name w:val="Colorful Grid Accent 6"/>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Record 9</dc:title>
  <dc:subject/>
  <dc:creator>Kniazev Daniil</dc:creator>
  <cp:keywords/>
  <dc:description>generated by python-docx</dc:description>
  <cp:lastModifiedBy>Kniazev Daniil</cp:lastModifiedBy>
  <cp:revision>3</cp:revision>
  <dcterms:created xsi:type="dcterms:W3CDTF">2013-12-23T23:15:00Z</dcterms:created>
  <dcterms:modified xsi:type="dcterms:W3CDTF">2026-10-04T16:05:00Z</dcterms:modified>
  <cp:category/>
</cp:coreProperties>
</file>