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Лаба 2. SLP. Прогнозирование </w:t>
      </w:r>
    </w:p>
    <w:p w:rsidR="00000000" w:rsidDel="00000000" w:rsidP="00000000" w:rsidRDefault="00000000" w:rsidRPr="00000000" w14:paraId="00000002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Цель работы: Изучить обучение и функционирование ИНС при решении задач прогнозирования.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/>
        <w:drawing>
          <wp:inline distB="114300" distT="114300" distL="114300" distR="114300">
            <wp:extent cx="3352800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Написать нейронную сеть(single layer perceptron) для решения задачи прогнозирования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 функции: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73037" cy="2757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037" cy="27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Обучить сеть с использованием константного и адаптивного шага обучения, online-</w:t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learning и batch-learning. Результаты для каждого варианта сети занести в таблицу(</w:t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left"/>
        <w:rPr/>
      </w:pPr>
      <w:r w:rsidDel="00000000" w:rsidR="00000000" w:rsidRPr="00000000">
        <w:rPr>
          <w:rtl w:val="0"/>
        </w:rPr>
        <w:t xml:space="preserve">test error, количество эпох, время обучения и тд)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входов ИНС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