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rFonts w:ascii="Times New Roman" w:hAnsi="Times New Roman"/>
          <w:b/>
          <w:sz w:val="44"/>
        </w:rPr>
        <w:t>Отчёт о вычислительных упражнениях</w:t>
        <w:br/>
      </w:r>
    </w:p>
    <w:p>
      <w:pPr>
        <w:jc w:val="center"/>
      </w:pPr>
      <w:r>
        <w:rPr>
          <w:rFonts w:ascii="Times New Roman" w:hAnsi="Times New Roman"/>
          <w:sz w:val="32"/>
        </w:rPr>
        <w:t>Двухдневная гибридная школа по</w:t>
        <w:br/>
        <w:t>Молекулярному и материаловедческому моделированию</w:t>
      </w:r>
    </w:p>
    <w:p/>
    <w:p>
      <w:pPr>
        <w:jc w:val="center"/>
      </w:pPr>
      <w:r>
        <w:rPr>
          <w:rFonts w:ascii="Times New Roman" w:hAnsi="Times New Roman"/>
          <w:sz w:val="28"/>
        </w:rPr>
        <w:t>26–27 августа 2026 г.</w:t>
      </w:r>
    </w:p>
    <w:p/>
    <w:p/>
    <w:p/>
    <w:p/>
    <w:p>
      <w:pPr>
        <w:jc w:val="center"/>
      </w:pPr>
      <w:r>
        <w:rPr>
          <w:rFonts w:ascii="Times New Roman" w:hAnsi="Times New Roman"/>
          <w:sz w:val="24"/>
        </w:rPr>
        <w:t>Преподаватели: Мирослав Илиаш и Дипаян Сен</w:t>
        <w:br/>
        <w:t>ЛТФ ОИЯИ, Дубна, Московская область, Россия</w:t>
      </w:r>
    </w:p>
    <w:p>
      <w:r>
        <w:br w:type="page"/>
      </w:r>
    </w:p>
    <w:p>
      <w:pPr>
        <w:pStyle w:val="Heading1"/>
      </w:pPr>
      <w:r>
        <w:t>Введение</w:t>
      </w:r>
    </w:p>
    <w:p>
      <w:r>
        <w:t>Данный отчёт документирует выполнение вычислительных упражнений в рамках «Двухдневной гибридной школы по молекулярному и материаловедческому моделированию», проходившей 26–27 августа 2026 года в ЛТФ ОИЯИ (Дубна). Упражнения охватывают две области: молекулярное моделирование (Часть I) и моделирование материалов (Часть II). Все расчёты выполнены на персональной рабочей станции под управлением Ubuntu Linux с процессором Intel Core i9-14900KF. Использовались открытые программные пакеты: ASE, Quantum ESPRESSO, MACE, NWChem, MOPAC, xTB, PySCF и GROMACS.</w:t>
      </w:r>
    </w:p>
    <w:p>
      <w:r>
        <w:br w:type="page"/>
      </w:r>
    </w:p>
    <w:p>
      <w:pPr>
        <w:pStyle w:val="Heading1"/>
      </w:pPr>
      <w:r>
        <w:t>Часть I: Молекулярное моделирование</w:t>
      </w:r>
    </w:p>
    <w:p>
      <w:pPr>
        <w:pStyle w:val="Heading2"/>
      </w:pPr>
      <w:r>
        <w:t>Упражнение I.1 – Проверка программного обеспечения</w:t>
      </w:r>
    </w:p>
    <w:p>
      <w:r>
        <w:t>Цель: Убедиться, что все необходимые пакеты (PySCF, MOPAC, xTB, CREST, NWChem, Quantum ESPRESSO) корректно установлены и работают.</w:t>
      </w:r>
    </w:p>
    <w:p>
      <w:r>
        <w:t>Все тесты пройдены успешно. PySCF: E = −2067.61 эВ, MOPAC: E = −2.50 эВ, xTB: E = −137.97 эВ.</w:t>
      </w:r>
    </w:p>
    <w:p>
      <w:pPr>
        <w:pStyle w:val="Heading2"/>
      </w:pPr>
      <w:r>
        <w:t>Упражнение I.2 – Тесты производительности</w:t>
      </w:r>
    </w:p>
    <w:p>
      <w:r>
        <w:t>Тесты производительности MOPAC, NWChem и Quantum ESPRESSO на масштабирование от 1 до 24 ядер. Обнаружено, что Intel Core i9-14900KF требует OMP_NUM_THREADS=1 для ASE-управляемых расчётов QE.</w:t>
      </w:r>
    </w:p>
    <w:p>
      <w:pPr>
        <w:pStyle w:val="Heading2"/>
      </w:pPr>
      <w:r>
        <w:t>Упражнение I.3 – ASE + MACE (Энергии атомизации)</w:t>
      </w:r>
    </w:p>
    <w:p>
      <w:r>
        <w:t>Рассчитаны энергии атомизации N₂ и O₂ с использованием EMT и MACE-MP-0. EMT не имеет параметров для некоторых элементов (F₂), а MACE демонстрирует ошибку самодействия DFT для связи F₂.</w:t>
      </w:r>
    </w:p>
    <w:p>
      <w:pPr>
        <w:pStyle w:val="Heading2"/>
      </w:pPr>
      <w:r>
        <w:t>Упражнение I.5 – Термодинамические свойства O₂</w:t>
      </w:r>
    </w:p>
    <w:p>
      <w:r>
        <w:t>Молекула O₂ смоделирована в триплетном основном состоянии (спин = 1 в ASE). Рассчитанная стандартная энтропия S° отлично совпала с экспериментальным значением 205.2 Дж/(моль·К).</w:t>
      </w:r>
    </w:p>
    <w:p>
      <w:pPr>
        <w:pStyle w:val="Heading2"/>
      </w:pPr>
      <w:r>
        <w:t>Упражнение I.6 – Энергия связи C–C и C–H</w:t>
      </w:r>
    </w:p>
    <w:p>
      <w:r>
        <w:t>Рассчитана энергия диссоциации связи C–C в этане и C–H в метане с помощью MACE. Создан отчёт Methane_CH_Bond_Report.docx.</w:t>
      </w:r>
    </w:p>
    <w:p>
      <w:pPr>
        <w:pStyle w:val="Heading2"/>
      </w:pPr>
      <w:r>
        <w:t>Упражнение I.7 – Оптимизация геометрии воды (QE)</w:t>
      </w:r>
    </w:p>
    <w:p>
      <w:r>
        <w:t>Геометрия молекулы воды успешно оптимизирована с помощью Quantum ESPRESSO, управляемого через ASE. Длина связи O–H и угол H–O–H согласуются с литературными данными DFT.</w:t>
      </w:r>
    </w:p>
    <w:p>
      <w:r>
        <w:br w:type="page"/>
      </w:r>
    </w:p>
    <w:p>
      <w:pPr>
        <w:pStyle w:val="Heading1"/>
      </w:pPr>
      <w:r>
        <w:t>Часть II: Моделирование материалов</w:t>
      </w:r>
    </w:p>
    <w:p>
      <w:pPr>
        <w:pStyle w:val="Heading2"/>
      </w:pPr>
      <w:r>
        <w:t>Упражнение II.1 – Расчёт полной энергии кремния (Si)</w:t>
      </w:r>
    </w:p>
    <w:p>
      <w:r>
        <w:t>Цель: Рассчитать полную энергию элементарной ячейки кремния (алмазная кубическая структура, Fd-3m, 2 атома) двумя методами: прямой расчёт pw.x и ASE-управляемый QE.</w:t>
      </w:r>
    </w:p>
    <w:p>
      <w:pPr>
        <w:pStyle w:val="Heading3"/>
      </w:pPr>
      <w:r>
        <w:t>Результаты</w:t>
      </w:r>
    </w:p>
    <w:p>
      <w:r>
        <w:t>Прямой QE: E = −16.73650 Ry (−227.712 эВ)</w:t>
        <w:br/>
        <w:t>ASE-QE: E = −16.73679 Ry (−227.712 эВ)</w:t>
        <w:br/>
        <w:t>Оба метода дают идентичные результаты, подтверждая корректность ASE-калькулятора.</w:t>
      </w:r>
    </w:p>
    <w:p>
      <w:pPr>
        <w:pStyle w:val="Heading3"/>
      </w:pPr>
      <w:r>
        <w:t>Челлендж</w:t>
      </w:r>
    </w:p>
    <w:p>
      <w:r>
        <w:t>Создан скрипт ecutwfc_test.py для систематической проверки сходимости по энергии обрезания (20–80 Ry).</w:t>
      </w:r>
    </w:p>
    <w:p>
      <w:pPr>
        <w:pStyle w:val="Heading2"/>
      </w:pPr>
      <w:r>
        <w:t>Упражнение II.2 – Тесты на сходимость</w:t>
      </w:r>
    </w:p>
    <w:p>
      <w:r>
        <w:t>Цель: Определить оптимальные параметры расчёта — энергию обрезания плоских волн (ecutwfc) и плотность k-сетки Монкхорста-Пака. Порог сходимости: ΔE &lt; 0.01 мэВ/атом.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r>
              <w:rPr>
                <w:b/>
              </w:rPr>
              <w:t>Параметр</w:t>
            </w:r>
          </w:p>
        </w:tc>
        <w:tc>
          <w:tcPr>
            <w:tcW w:type="dxa" w:w="3135"/>
          </w:tcPr>
          <w:p>
            <w:r>
              <w:rPr>
                <w:b/>
              </w:rPr>
              <w:t>Значение</w:t>
            </w:r>
          </w:p>
        </w:tc>
        <w:tc>
          <w:tcPr>
            <w:tcW w:type="dxa" w:w="3135"/>
          </w:tcPr>
          <w:p>
            <w:r>
              <w:rPr>
                <w:b/>
              </w:rPr>
              <w:t>ΔE (мэВ/атом)</w:t>
            </w:r>
          </w:p>
        </w:tc>
      </w:tr>
      <w:tr>
        <w:tc>
          <w:tcPr>
            <w:tcW w:type="dxa" w:w="3135"/>
          </w:tcPr>
          <w:p>
            <w:r>
              <w:t>ecutwfc</w:t>
            </w:r>
          </w:p>
        </w:tc>
        <w:tc>
          <w:tcPr>
            <w:tcW w:type="dxa" w:w="3135"/>
          </w:tcPr>
          <w:p>
            <w:r>
              <w:t>65 Ry</w:t>
            </w:r>
          </w:p>
        </w:tc>
        <w:tc>
          <w:tcPr>
            <w:tcW w:type="dxa" w:w="3135"/>
          </w:tcPr>
          <w:p>
            <w:r>
              <w:t>−0.005</w:t>
            </w:r>
          </w:p>
        </w:tc>
      </w:tr>
      <w:tr>
        <w:tc>
          <w:tcPr>
            <w:tcW w:type="dxa" w:w="3135"/>
          </w:tcPr>
          <w:p>
            <w:r>
              <w:t>K-сетка</w:t>
            </w:r>
          </w:p>
        </w:tc>
        <w:tc>
          <w:tcPr>
            <w:tcW w:type="dxa" w:w="3135"/>
          </w:tcPr>
          <w:p>
            <w:r>
              <w:t>(15, 15, 15)</w:t>
            </w:r>
          </w:p>
        </w:tc>
        <w:tc>
          <w:tcPr>
            <w:tcW w:type="dxa" w:w="3135"/>
          </w:tcPr>
          <w:p>
            <w:r>
              <w:t>&lt; 0.01</w:t>
            </w:r>
          </w:p>
        </w:tc>
      </w:tr>
    </w:tbl>
    <w:p/>
    <w:p>
      <w:pPr>
        <w:pStyle w:val="Heading2"/>
      </w:pPr>
      <w:r>
        <w:t>Упражнение II.3 – Релаксация элементарной ячейки</w:t>
      </w:r>
    </w:p>
    <w:p>
      <w:r>
        <w:t>Цель: Оптимизировать геометрию ячейки кремния для нахождения равновесной кристаллической структуры на уровне DFT.</w:t>
      </w:r>
    </w:p>
    <w:p>
      <w:pPr>
        <w:pStyle w:val="Heading3"/>
      </w:pPr>
      <w:r>
        <w:t>Результаты</w:t>
      </w:r>
    </w:p>
    <w:p>
      <w:r>
        <w:t>Прямой QE (vc-relax): E = −230.280 эВ, a = 5.4689 Å</w:t>
        <w:br/>
        <w:t>ASE BFGS: E = −230.280 эВ, a = 5.4679 Å</w:t>
        <w:br/>
        <w:t>Оба метода сходятся к одной структуре. Параметр решётки чуть больше экспериментального (5.4298 Å при 300 К), что типично для PBE-функционала.</w:t>
      </w:r>
    </w:p>
    <w:p>
      <w:pPr>
        <w:pStyle w:val="Heading2"/>
      </w:pPr>
      <w:r>
        <w:t>Упражнение II.4 – Электронные свойства кремния (Si)</w:t>
      </w:r>
    </w:p>
    <w:p>
      <w:r>
        <w:t>Цель: Рассчитать плотность состояний (DOS), проекционную DOS (PDOS), заряды Лёвдина и 3D-распределение зарядовой плотности для расслабленного кремния.</w:t>
      </w:r>
    </w:p>
    <w:p>
      <w:pPr>
        <w:pStyle w:val="Heading3"/>
      </w:pPr>
      <w:r>
        <w:t>Результаты</w:t>
      </w:r>
    </w:p>
    <w:p>
      <w:r>
        <w:t>Анализ населённостей Лёвдина: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Атом</w:t>
            </w:r>
          </w:p>
        </w:tc>
        <w:tc>
          <w:tcPr>
            <w:tcW w:type="dxa" w:w="2351"/>
          </w:tcPr>
          <w:p>
            <w:r>
              <w:rPr>
                <w:b/>
              </w:rPr>
              <w:t>Заряд</w:t>
            </w:r>
          </w:p>
        </w:tc>
        <w:tc>
          <w:tcPr>
            <w:tcW w:type="dxa" w:w="2351"/>
          </w:tcPr>
          <w:p>
            <w:r>
              <w:rPr>
                <w:b/>
              </w:rPr>
              <w:t>s</w:t>
            </w:r>
          </w:p>
        </w:tc>
        <w:tc>
          <w:tcPr>
            <w:tcW w:type="dxa" w:w="2351"/>
          </w:tcPr>
          <w:p>
            <w:r>
              <w:rPr>
                <w:b/>
              </w:rPr>
              <w:t>p</w:t>
            </w:r>
          </w:p>
        </w:tc>
      </w:tr>
      <w:tr>
        <w:tc>
          <w:tcPr>
            <w:tcW w:type="dxa" w:w="2351"/>
          </w:tcPr>
          <w:p>
            <w:r>
              <w:t>Si</w:t>
            </w:r>
          </w:p>
        </w:tc>
        <w:tc>
          <w:tcPr>
            <w:tcW w:type="dxa" w:w="2351"/>
          </w:tcPr>
          <w:p>
            <w:r>
              <w:t>3.964</w:t>
            </w:r>
          </w:p>
        </w:tc>
        <w:tc>
          <w:tcPr>
            <w:tcW w:type="dxa" w:w="2351"/>
          </w:tcPr>
          <w:p>
            <w:r>
              <w:t>1.160</w:t>
            </w:r>
          </w:p>
        </w:tc>
        <w:tc>
          <w:tcPr>
            <w:tcW w:type="dxa" w:w="2351"/>
          </w:tcPr>
          <w:p>
            <w:r>
              <w:t>2.804</w:t>
            </w:r>
          </w:p>
        </w:tc>
      </w:tr>
    </w:tbl>
    <w:p/>
    <w:p>
      <w:r>
        <w:t>Соотношение s:p ≈ 1:2.4 подтверждает sp³-гибридизацию алмазной структуры. Параметр спиллинга 0.0089 — превосходно (≪ 0.05). Интегральная DOS даёт 8.0 состояний (ожидаемо: 8 валентных электронов). Запрещённая зона ~0.6 эВ (экспериментально 1.12 эВ — классическое занижение DFT).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DO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1. Плотность состояний кремния (Total DOS). Уровень Ферми совмещён с нулём энергии. Чётко видна запрещённая зона.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licon_PDO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2. Проекционная плотность состояний кремния (PDOS). Красная — s-орбитали, синяя — p-орбитали. Смешение вблизи валентной зоны демонстрирует sp³-гибридизацию.</w:t>
      </w:r>
    </w:p>
    <w:p>
      <w:pPr>
        <w:pStyle w:val="Heading2"/>
      </w:pPr>
      <w:r>
        <w:t>Упражнение II.5 – Электронные свойства алюминия (Al)</w:t>
      </w:r>
    </w:p>
    <w:p>
      <w:r>
        <w:t>Цель: Рассчитать электронную DOS для ГЦК-алюминия (металл) и сравнить с полупроводником (Si).</w:t>
      </w:r>
    </w:p>
    <w:p>
      <w:pPr>
        <w:pStyle w:val="Heading3"/>
      </w:pPr>
      <w:r>
        <w:t>Результаты</w:t>
      </w:r>
    </w:p>
    <w:p>
      <w:r>
        <w:t>E_SCF = −63.067 эВ, E_Fermi = 7.969 эВ, интегральная DOS = 2.997 состояний (3 валентных электрона Al).</w:t>
        <w:br/>
        <w:br/>
        <w:t>График DOS алюминия показывает фундаментально отличную электронную структуру: плотность состояний непрерывна через уровень Ферми, запрещённая зона отсутствует. Это определяющая характеристика металла — электроны на поверхности Ферми имеют немедленно доступные пустые состояния.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l_DO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3. Плотность состояний алюминия. Непрерывный спектр через уровень Ферми — признак металла (в отличие от кремния, где присутствует щель).</w:t>
      </w:r>
    </w:p>
    <w:p>
      <w:pPr>
        <w:pStyle w:val="Heading3"/>
      </w:pPr>
      <w:r>
        <w:t>Челлендж II.5</w:t>
      </w:r>
    </w:p>
    <w:p>
      <w:r>
        <w:t>Реализован полный конвейер в подпапке Challenge_Al/:</w:t>
        <w:br/>
        <w:t>1. Тест сходимости (ecutwfc 20–70 Ry, k-сетки 4×4×4 — 14×14×14) с экспериментальным a = 4.049 Å.</w:t>
        <w:br/>
        <w:t>2. BFGS-релаксация → a/√2 = 2.019 Å (сжатие относительно комнатной температуры, соответствует расчёту при 0 К).</w:t>
        <w:br/>
        <w:t>3. SCF + NSCF (24×24×24) + DOS на расслабленной структуре.</w:t>
        <w:br/>
        <w:br/>
        <w:t>Важное наблюдение: в отличие от Si, энергия Al осциллирует при увеличении k-сетки из-за чувствительности поверхности Ферми металлов.</w:t>
      </w:r>
    </w:p>
    <w:p>
      <w:pPr>
        <w:pStyle w:val="Heading2"/>
      </w:pPr>
      <w:r>
        <w:t>Упражнение II.6 – Поверхности и 2D-материалы: Графен</w:t>
      </w:r>
    </w:p>
    <w:p>
      <w:r>
        <w:t>Цель: Сконструировать однослойный графен, провести 2D-тесты сходимости, ограниченную релаксацию ячейки и рассчитать электронные свойства. Разложить PDOS по компонентам px, py и pz для обнаружения физики конуса Дирака.</w:t>
      </w:r>
    </w:p>
    <w:p>
      <w:pPr>
        <w:pStyle w:val="Heading3"/>
      </w:pPr>
      <w:r>
        <w:t>Шаг 6.1: Тест сходимости</w:t>
      </w:r>
    </w:p>
    <w:p>
      <w:r>
        <w:t>Графен потребовал ecutwfc = 100 Ry (углерод — маленький атом 2-го периода с резкими волновыми функциями) и k-сетку (42, 42, 1) для разрешения точки Дирака.</w:t>
      </w:r>
    </w:p>
    <w:p>
      <w:pPr>
        <w:pStyle w:val="Heading3"/>
      </w:pPr>
      <w:r>
        <w:t>Шаг 6.2: Ограниченная релаксация</w:t>
      </w:r>
    </w:p>
    <w:p>
      <w:r>
        <w:t>Маска UnitCellFilter [True, True, False, False, False, False] — релаксация только в плоскости xy. Расслабленная длина связи C–C = 1.424 Å (экспериментально: 1.420 Å, совпадение 99.7%). Параметр решётки a = 2.466 Å (экспериментально: 2.460 Å).</w:t>
      </w:r>
    </w:p>
    <w:p>
      <w:pPr>
        <w:pStyle w:val="Heading3"/>
      </w:pPr>
      <w:r>
        <w:t>Шаг 6.3: Электронные свойства и конус Дирака</w:t>
      </w:r>
    </w:p>
    <w:p>
      <w:r>
        <w:t>График PDOS (Graphene_PDOS.png) предоставляет прямое доказательство физики конуса Дирака: на уровне Ферми только pz-орбиталь имеет ненулевую плотность, в то время как вклады px и py равны нулю. Орбиталь pz формирует π и π* зоны, создающие линейно-дисперсный конус Дирака.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PDO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4. Проекционная DOS графена: pz (синяя), px (красная), py (зелёная). Только pz-орбиталь формирует состояния на уровне Ферми — это конус Дирака.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01752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ene_Total_p_PDO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17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5. Суммарная p-орбиталь графена. На уровне Ферми спектр сходится в точку — полуметаллическое поведение.</w:t>
      </w:r>
    </w:p>
    <w:p>
      <w:pPr>
        <w:pStyle w:val="Heading2"/>
      </w:pPr>
      <w:r>
        <w:t>Упражнение II.7 – Работа выхода графена</w:t>
      </w:r>
    </w:p>
    <w:p>
      <w:r>
        <w:t>Цель: Рассчитать работу выхода графена — минимальную энергию для извлечения электрона с поверхности в вакуум.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Свойство</w:t>
            </w:r>
          </w:p>
        </w:tc>
        <w:tc>
          <w:tcPr>
            <w:tcW w:type="dxa" w:w="4703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703"/>
          </w:tcPr>
          <w:p>
            <w:r>
              <w:t>Уровень Ферми</w:t>
            </w:r>
          </w:p>
        </w:tc>
        <w:tc>
          <w:tcPr>
            <w:tcW w:type="dxa" w:w="4703"/>
          </w:tcPr>
          <w:p>
            <w:r>
              <w:t>−1.717 эВ</w:t>
            </w:r>
          </w:p>
        </w:tc>
      </w:tr>
      <w:tr>
        <w:tc>
          <w:tcPr>
            <w:tcW w:type="dxa" w:w="4703"/>
          </w:tcPr>
          <w:p>
            <w:r>
              <w:t>Уровень вакуума</w:t>
            </w:r>
          </w:p>
        </w:tc>
        <w:tc>
          <w:tcPr>
            <w:tcW w:type="dxa" w:w="4703"/>
          </w:tcPr>
          <w:p>
            <w:r>
              <w:t>+2.523 эВ</w:t>
            </w:r>
          </w:p>
        </w:tc>
      </w:tr>
      <w:tr>
        <w:tc>
          <w:tcPr>
            <w:tcW w:type="dxa" w:w="4703"/>
          </w:tcPr>
          <w:p>
            <w:r>
              <w:t>Работа выхода</w:t>
            </w:r>
          </w:p>
        </w:tc>
        <w:tc>
          <w:tcPr>
            <w:tcW w:type="dxa" w:w="4703"/>
          </w:tcPr>
          <w:p>
            <w:r>
              <w:t>4.241 эВ</w:t>
            </w:r>
          </w:p>
        </w:tc>
      </w:tr>
    </w:tbl>
    <w:p/>
    <w:p>
      <w:r>
        <w:t>Рассчитанная работа выхода 4.24 эВ прекрасно согласуется с экспериментальными измерениями для чистого графена (4.2–4.5 эВ).</w:t>
      </w:r>
    </w:p>
    <w:p>
      <w:pPr>
        <w:pStyle w:val="Heading3"/>
      </w:pPr>
      <w:r>
        <w:t>Графики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029200" cy="33528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tential_plot_pyth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352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Рис. 6. Профиль электростатического потенциала вдоль оси z. Красная — планарное усреднение, синяя — макроскопическое усреднение. Зелёная пунктирная — уровень Ферми.</w:t>
      </w:r>
    </w:p>
    <w:p>
      <w:pPr>
        <w:pStyle w:val="Heading2"/>
      </w:pPr>
      <w:r>
        <w:t>Упражнение II.8 – Адсорбция водорода на графене</w:t>
      </w:r>
    </w:p>
    <w:p>
      <w:r>
        <w:t>Цель: Рассчитать энергию связи атома водорода, адсорбированного на фрагменте графена C₈.</w:t>
      </w:r>
    </w:p>
    <w:p>
      <w:pPr>
        <w:pStyle w:val="Heading3"/>
      </w:pPr>
      <w:r>
        <w:t>Результаты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r>
              <w:rPr>
                <w:b/>
              </w:rPr>
              <w:t>Величина</w:t>
            </w:r>
          </w:p>
        </w:tc>
        <w:tc>
          <w:tcPr>
            <w:tcW w:type="dxa" w:w="4703"/>
          </w:tcPr>
          <w:p>
            <w:r>
              <w:rPr>
                <w:b/>
              </w:rPr>
              <w:t>Энергия (эВ)</w:t>
            </w:r>
          </w:p>
        </w:tc>
      </w:tr>
      <w:tr>
        <w:tc>
          <w:tcPr>
            <w:tcW w:type="dxa" w:w="4703"/>
          </w:tcPr>
          <w:p>
            <w:r>
              <w:t>E(H@C₈)</w:t>
            </w:r>
          </w:p>
        </w:tc>
        <w:tc>
          <w:tcPr>
            <w:tcW w:type="dxa" w:w="4703"/>
          </w:tcPr>
          <w:p>
            <w:r>
              <w:t>−1319.069</w:t>
            </w:r>
          </w:p>
        </w:tc>
      </w:tr>
      <w:tr>
        <w:tc>
          <w:tcPr>
            <w:tcW w:type="dxa" w:w="4703"/>
          </w:tcPr>
          <w:p>
            <w:r>
              <w:t>E(H)</w:t>
            </w:r>
          </w:p>
        </w:tc>
        <w:tc>
          <w:tcPr>
            <w:tcW w:type="dxa" w:w="4703"/>
          </w:tcPr>
          <w:p>
            <w:r>
              <w:t>−12.560</w:t>
            </w:r>
          </w:p>
        </w:tc>
      </w:tr>
      <w:tr>
        <w:tc>
          <w:tcPr>
            <w:tcW w:type="dxa" w:w="4703"/>
          </w:tcPr>
          <w:p>
            <w:r>
              <w:t>E(C₈)</w:t>
            </w:r>
          </w:p>
        </w:tc>
        <w:tc>
          <w:tcPr>
            <w:tcW w:type="dxa" w:w="4703"/>
          </w:tcPr>
          <w:p>
            <w:r>
              <w:t>−1303.646</w:t>
            </w:r>
          </w:p>
        </w:tc>
      </w:tr>
      <w:tr>
        <w:tc>
          <w:tcPr>
            <w:tcW w:type="dxa" w:w="4703"/>
          </w:tcPr>
          <w:p>
            <w:r>
              <w:t>E_связи</w:t>
            </w:r>
          </w:p>
        </w:tc>
        <w:tc>
          <w:tcPr>
            <w:tcW w:type="dxa" w:w="4703"/>
          </w:tcPr>
          <w:p>
            <w:r>
              <w:t>2.864</w:t>
            </w:r>
          </w:p>
        </w:tc>
      </w:tr>
    </w:tbl>
    <w:p/>
    <w:p>
      <w:r>
        <w:t>Завышение по сравнению с экспериментом (0.67–1.0 эВ) объясняется краевыми эффектами маленького фрагмента C₈. Больший фрагмент (C₃₂ или периодическая суперячейка) даст более точные значения.</w:t>
      </w:r>
    </w:p>
    <w:p>
      <w:pPr>
        <w:pStyle w:val="Heading3"/>
      </w:pPr>
      <w:r>
        <w:t>Челлендж II.8 (Расширенный)</w:t>
      </w:r>
    </w:p>
    <w:p>
      <w:r>
        <w:t>Дополнительно выполнен расчёт адсорбции ртути (Hg) на большем фрагменте графена C₁₈ в подпапке Hg_on_C18/. BFGS-релаксация сошлась за 7 шагов, E(Hg@C₁₈) = −7481.346 эВ.</w:t>
      </w:r>
    </w:p>
    <w:p>
      <w:r>
        <w:br w:type="page"/>
      </w:r>
    </w:p>
    <w:p>
      <w:pPr>
        <w:pStyle w:val="Heading1"/>
      </w:pPr>
      <w:r>
        <w:t>Сводная таблица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</w:tcPr>
          <w:p>
            <w:r>
              <w:rPr>
                <w:b/>
              </w:rPr>
              <w:t>Упражнение</w:t>
            </w:r>
          </w:p>
        </w:tc>
        <w:tc>
          <w:tcPr>
            <w:tcW w:type="dxa" w:w="2351"/>
          </w:tcPr>
          <w:p>
            <w:r>
              <w:rPr>
                <w:b/>
              </w:rPr>
              <w:t>Статус</w:t>
            </w:r>
          </w:p>
        </w:tc>
        <w:tc>
          <w:tcPr>
            <w:tcW w:type="dxa" w:w="2351"/>
          </w:tcPr>
          <w:p>
            <w:r>
              <w:rPr>
                <w:b/>
              </w:rPr>
              <w:t>Ключевой результат</w:t>
            </w:r>
          </w:p>
        </w:tc>
        <w:tc>
          <w:tcPr>
            <w:tcW w:type="dxa" w:w="2351"/>
          </w:tcPr>
          <w:p>
            <w:r>
              <w:rPr>
                <w:b/>
              </w:rPr>
              <w:t>Челлендж</w:t>
            </w:r>
          </w:p>
        </w:tc>
      </w:tr>
      <w:tr>
        <w:tc>
          <w:tcPr>
            <w:tcW w:type="dxa" w:w="2351"/>
          </w:tcPr>
          <w:p>
            <w:r>
              <w:t>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Все пакеты ОК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Тесты пройдены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N₂, O₂ атомизация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MACE OK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S° совпадает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C–H отчёт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H₂O оптимизирована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UO₂I₂(OH₂)₂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II.1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 = −227.71 эВ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II.2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65 Ry, (15,15,15)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II.3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a = 5.468 Å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II.4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Щель ~0.6 эВ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II.5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Метал. DOS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  <w:tr>
        <w:tc>
          <w:tcPr>
            <w:tcW w:type="dxa" w:w="2351"/>
          </w:tcPr>
          <w:p>
            <w:r>
              <w:t>II.6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Конус Дирака pz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II.7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W = 4.24 эВ</w:t>
            </w:r>
          </w:p>
        </w:tc>
        <w:tc>
          <w:tcPr>
            <w:tcW w:type="dxa" w:w="2351"/>
          </w:tcPr>
          <w:p>
            <w:r>
              <w:t>✓</w:t>
            </w:r>
          </w:p>
        </w:tc>
      </w:tr>
      <w:tr>
        <w:tc>
          <w:tcPr>
            <w:tcW w:type="dxa" w:w="2351"/>
          </w:tcPr>
          <w:p>
            <w:r>
              <w:t>II.8</w:t>
            </w:r>
          </w:p>
        </w:tc>
        <w:tc>
          <w:tcPr>
            <w:tcW w:type="dxa" w:w="2351"/>
          </w:tcPr>
          <w:p>
            <w:r>
              <w:t>✓</w:t>
            </w:r>
          </w:p>
        </w:tc>
        <w:tc>
          <w:tcPr>
            <w:tcW w:type="dxa" w:w="2351"/>
          </w:tcPr>
          <w:p>
            <w:r>
              <w:t>E_св = 2.86 эВ</w:t>
            </w:r>
          </w:p>
        </w:tc>
        <w:tc>
          <w:tcPr>
            <w:tcW w:type="dxa" w:w="2351"/>
          </w:tcPr>
          <w:p>
            <w:r>
              <w:t>✓✓</w:t>
            </w:r>
          </w:p>
        </w:tc>
      </w:tr>
    </w:tbl>
    <w:p>
      <w:r>
        <w:br w:type="page"/>
      </w:r>
    </w:p>
    <w:p>
      <w:pPr>
        <w:pStyle w:val="Heading1"/>
      </w:pPr>
      <w:r>
        <w:t>Выводы</w:t>
      </w:r>
    </w:p>
    <w:p>
      <w:pPr>
        <w:pStyle w:val="ListBullet"/>
      </w:pPr>
      <w:r>
        <w:t>Освоен полный рабочий процесс моделирования материалов: энергия → сходимость → релаксация → электронные свойства.</w:t>
      </w:r>
    </w:p>
    <w:p>
      <w:pPr>
        <w:pStyle w:val="ListBullet"/>
      </w:pPr>
      <w:r>
        <w:t>Получено наглядное вычислительное подтверждение различия полупроводников (Si, щель ~0.6 эВ) и металлов (Al, непрерывная DOS).</w:t>
      </w:r>
    </w:p>
    <w:p>
      <w:pPr>
        <w:pStyle w:val="ListBullet"/>
      </w:pPr>
      <w:r>
        <w:t>Построен и проанализирован 2D-материал (графен): орбитальное разложение подтверждает pz-природу конуса Дирака.</w:t>
      </w:r>
    </w:p>
    <w:p>
      <w:pPr>
        <w:pStyle w:val="ListBullet"/>
      </w:pPr>
      <w:r>
        <w:t>Рассчитана работа выхода графена (4.24 эВ) из первых принципов, совпадает с экспериментом (4.2–4.5 эВ).</w:t>
      </w:r>
    </w:p>
    <w:p>
      <w:pPr>
        <w:pStyle w:val="ListBullet"/>
      </w:pPr>
      <w:r>
        <w:t>Смоделирована адсорбция водорода на графене с учётом ван-дер-ваальсовых поправок DFT-D3.</w:t>
      </w:r>
    </w:p>
    <w:p>
      <w:pPr>
        <w:pStyle w:val="ListBullet"/>
      </w:pPr>
      <w:r>
        <w:t>Оценены ограничения DFT: занижение запрещённой зоны кремния, эффекты конечного размера в энергиях адсорбции.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