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расчету энергии связи C-H в метане (Challenge I.4)</w:t>
      </w:r>
    </w:p>
    <w:p>
      <w:pPr>
        <w:pStyle w:val="Heading1"/>
      </w:pPr>
      <w:r>
        <w:t>1. Теоретическая база и методология</w:t>
      </w:r>
    </w:p>
    <w:p>
      <w:r>
        <w:t>Для вычисления энергии разрыва связи (BDE) C-H в метане моделируется реакция гомолитического разрыва:</w:t>
        <w:br/>
        <w:t>CH4 → CH3• + H•</w:t>
      </w:r>
    </w:p>
    <w:p>
      <w:r>
        <w:t>Энергия связи вычисляется как разность полных энергий изолированных продуктов и исходной молекулы:</w:t>
        <w:br/>
        <w:t>BDE(C-H) = E(CH3•) + E(H•) - E(CH4)</w:t>
      </w:r>
    </w:p>
    <w:p>
      <w:r>
        <w:t>С помощью библиотеки ASE (Atomic Simulation Environment) была построена геометрия молекулы метана и метильного радикала. Структуры были оптимизированы (релаксированы) алгоритмом BFGS. Расчеты проводились с использованием двух методов:</w:t>
      </w:r>
    </w:p>
    <w:p>
      <w:pPr>
        <w:pStyle w:val="ListBullet"/>
      </w:pPr>
      <w:r>
        <w:t>1. EMT (Effective Medium Theory) – классический эмпирический потенциал.</w:t>
      </w:r>
    </w:p>
    <w:p>
      <w:pPr>
        <w:pStyle w:val="ListBullet"/>
      </w:pPr>
      <w:r>
        <w:t>2. MACE – современный нейросетевой потенциал машинного обучения.</w:t>
      </w:r>
    </w:p>
    <w:p>
      <w:pPr>
        <w:pStyle w:val="Heading1"/>
      </w:pPr>
      <w:r>
        <w:t>2. Результаты расчетов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Параметр</w:t>
            </w:r>
          </w:p>
        </w:tc>
        <w:tc>
          <w:tcPr>
            <w:tcW w:type="dxa" w:w="1440"/>
          </w:tcPr>
          <w:p>
            <w:r>
              <w:t>EMT</w:t>
            </w:r>
          </w:p>
        </w:tc>
        <w:tc>
          <w:tcPr>
            <w:tcW w:type="dxa" w:w="1440"/>
          </w:tcPr>
          <w:p>
            <w:r>
              <w:t>MACE</w:t>
            </w:r>
          </w:p>
        </w:tc>
        <w:tc>
          <w:tcPr>
            <w:tcW w:type="dxa" w:w="1440"/>
          </w:tcPr>
          <w:p>
            <w:r>
              <w:t>Эксперимент</w:t>
            </w:r>
          </w:p>
        </w:tc>
        <w:tc>
          <w:tcPr>
            <w:tcW w:type="dxa" w:w="1440"/>
          </w:tcPr>
          <w:p>
            <w:r>
              <w:t>Ошибка EMT</w:t>
            </w:r>
          </w:p>
        </w:tc>
        <w:tc>
          <w:tcPr>
            <w:tcW w:type="dxa" w:w="1440"/>
          </w:tcPr>
          <w:p>
            <w:r>
              <w:t>Ошибка MACE</w:t>
            </w:r>
          </w:p>
        </w:tc>
      </w:tr>
      <w:tr>
        <w:tc>
          <w:tcPr>
            <w:tcW w:type="dxa" w:w="1440"/>
          </w:tcPr>
          <w:p>
            <w:r>
              <w:t>Длина связи C-H</w:t>
            </w:r>
          </w:p>
        </w:tc>
        <w:tc>
          <w:tcPr>
            <w:tcW w:type="dxa" w:w="1440"/>
          </w:tcPr>
          <w:p>
            <w:r>
              <w:t>1.1515 Å</w:t>
            </w:r>
          </w:p>
        </w:tc>
        <w:tc>
          <w:tcPr>
            <w:tcW w:type="dxa" w:w="1440"/>
          </w:tcPr>
          <w:p>
            <w:r>
              <w:t>1.0931 Å</w:t>
            </w:r>
          </w:p>
        </w:tc>
        <w:tc>
          <w:tcPr>
            <w:tcW w:type="dxa" w:w="1440"/>
          </w:tcPr>
          <w:p>
            <w:r>
              <w:t>1.0870 Å</w:t>
            </w:r>
          </w:p>
        </w:tc>
        <w:tc>
          <w:tcPr>
            <w:tcW w:type="dxa" w:w="1440"/>
          </w:tcPr>
          <w:p>
            <w:r>
              <w:t>5.93%</w:t>
            </w:r>
          </w:p>
        </w:tc>
        <w:tc>
          <w:tcPr>
            <w:tcW w:type="dxa" w:w="1440"/>
          </w:tcPr>
          <w:p>
            <w:r>
              <w:t>0.56%</w:t>
            </w:r>
          </w:p>
        </w:tc>
      </w:tr>
      <w:tr>
        <w:tc>
          <w:tcPr>
            <w:tcW w:type="dxa" w:w="1440"/>
          </w:tcPr>
          <w:p>
            <w:r>
              <w:t>Энергия разрыва (эВ)</w:t>
            </w:r>
          </w:p>
        </w:tc>
        <w:tc>
          <w:tcPr>
            <w:tcW w:type="dxa" w:w="1440"/>
          </w:tcPr>
          <w:p>
            <w:r>
              <w:t>3.2539 эВ</w:t>
            </w:r>
          </w:p>
        </w:tc>
        <w:tc>
          <w:tcPr>
            <w:tcW w:type="dxa" w:w="1440"/>
          </w:tcPr>
          <w:p>
            <w:r>
              <w:t>4.3158 эВ</w:t>
            </w:r>
          </w:p>
        </w:tc>
        <w:tc>
          <w:tcPr>
            <w:tcW w:type="dxa" w:w="1440"/>
          </w:tcPr>
          <w:p>
            <w:r>
              <w:t>4.55 эВ</w:t>
            </w:r>
          </w:p>
        </w:tc>
        <w:tc>
          <w:tcPr>
            <w:tcW w:type="dxa" w:w="1440"/>
          </w:tcPr>
          <w:p>
            <w:r>
              <w:t>-1.29 эВ</w:t>
            </w:r>
          </w:p>
        </w:tc>
        <w:tc>
          <w:tcPr>
            <w:tcW w:type="dxa" w:w="1440"/>
          </w:tcPr>
          <w:p>
            <w:r>
              <w:t>-0.23 эВ</w:t>
            </w:r>
          </w:p>
        </w:tc>
      </w:tr>
      <w:tr>
        <w:tc>
          <w:tcPr>
            <w:tcW w:type="dxa" w:w="1440"/>
          </w:tcPr>
          <w:p>
            <w:r>
              <w:t>Энергия разрыва (кДж/моль)</w:t>
            </w:r>
          </w:p>
        </w:tc>
        <w:tc>
          <w:tcPr>
            <w:tcW w:type="dxa" w:w="1440"/>
          </w:tcPr>
          <w:p>
            <w:r>
              <w:t>313.95</w:t>
            </w:r>
          </w:p>
        </w:tc>
        <w:tc>
          <w:tcPr>
            <w:tcW w:type="dxa" w:w="1440"/>
          </w:tcPr>
          <w:p>
            <w:r>
              <w:t>416.41</w:t>
            </w:r>
          </w:p>
        </w:tc>
        <w:tc>
          <w:tcPr>
            <w:tcW w:type="dxa" w:w="1440"/>
          </w:tcPr>
          <w:p>
            <w:r>
              <w:t>439.0</w:t>
            </w:r>
          </w:p>
        </w:tc>
        <w:tc>
          <w:tcPr>
            <w:tcW w:type="dxa" w:w="1440"/>
          </w:tcPr>
          <w:p>
            <w:r>
              <w:t>28.49%</w:t>
            </w:r>
          </w:p>
        </w:tc>
        <w:tc>
          <w:tcPr>
            <w:tcW w:type="dxa" w:w="1440"/>
          </w:tcPr>
          <w:p>
            <w:r>
              <w:t>5.15%</w:t>
            </w:r>
          </w:p>
        </w:tc>
      </w:tr>
    </w:tbl>
    <w:p>
      <w:pPr>
        <w:pStyle w:val="Heading1"/>
      </w:pPr>
      <w:r>
        <w:t>3. Выводы</w:t>
      </w:r>
    </w:p>
    <w:p>
      <w:r>
        <w:rPr>
          <w:b/>
        </w:rPr>
        <w:t xml:space="preserve">Геометрия (Длина связи): </w:t>
      </w:r>
      <w:r>
        <w:t>Нейросеть MACE практически идеально предсказала геометрию молекулы метана. Длина связи отличается от экспериментальной всего на 0.006 Å (ошибка 0.5%). Классический потенциал EMT сильно завысил длину связи, растянув её до 1.15 Å.</w:t>
      </w:r>
    </w:p>
    <w:p>
      <w:r>
        <w:rPr>
          <w:b/>
        </w:rPr>
        <w:t xml:space="preserve">Энергия связи (BDE): </w:t>
      </w:r>
      <w:r>
        <w:t>Связь C-H в метане очень прочная (439 кДж/моль). Потенциал EMT сильно занизил эту энергию (ошибка 28.5%), так как он не умеет правильно описывать электронную структуру sp3-гибридизованного углерода и ковалентные органические связи. Потенциал MACE дал значение 416.4 кДж/моль, показав высокую точность (ошибка около 5%), сравнимую с ресурсоемкими квантово-химическими методами (DFT/CCSD), выполнив расчет за доли секунды.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