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REPORT: Molecular and Materials Modeling School</w:t>
      </w:r>
    </w:p>
    <w:p>
      <w:r>
        <w:t>Date: September 1, 2026</w:t>
        <w:br/>
        <w:t>School: Two-Day Hybrid School on Molecular and Materials Modeling, August 26–27, 2026</w:t>
        <w:br/>
        <w:t>Instructors: Miroslav Iliaš, Dipayan Sen (BLTP JINR)</w:t>
        <w:br/>
        <w:t>GitHub Repository: https://github.com/Danil169/Molecular-and-Materials-Modeling-2026-August</w:t>
        <w:br/>
      </w:r>
    </w:p>
    <w:p>
      <w:pPr>
        <w:pStyle w:val="Heading1"/>
      </w:pPr>
      <w:r>
        <w:t>Part I. Molecular Modeling</w:t>
      </w:r>
    </w:p>
    <w:p>
      <w:pPr>
        <w:pStyle w:val="ListBullet"/>
        <w:spacing w:after="120"/>
      </w:pPr>
      <w:r>
        <w:t>I.1 — Software verification ✓ All packages functional</w:t>
      </w:r>
    </w:p>
    <w:p>
      <w:pPr>
        <w:pStyle w:val="ListBullet"/>
        <w:spacing w:after="120"/>
      </w:pPr>
      <w:r>
        <w:t>I.2 — Performance tests: NWChem, QE, MOPAC ✓ Completed</w:t>
      </w:r>
    </w:p>
    <w:p>
      <w:pPr>
        <w:pStyle w:val="ListBullet"/>
        <w:spacing w:after="120"/>
      </w:pPr>
      <w:r>
        <w:t>I.3 — ASE + MACE: atomization energies of N₂, O₂ ✓ Done</w:t>
      </w:r>
    </w:p>
    <w:p>
      <w:pPr>
        <w:pStyle w:val="ListBullet"/>
        <w:spacing w:after="120"/>
      </w:pPr>
      <w:r>
        <w:t>I.4 — MACE installation check ✓ All scripts passed</w:t>
      </w:r>
    </w:p>
    <w:p>
      <w:pPr>
        <w:pStyle w:val="ListBullet"/>
        <w:spacing w:after="120"/>
      </w:pPr>
      <w:r>
        <w:t>I.5 — Thermodynamic properties of diatomic molecules ✓ S° calculated</w:t>
      </w:r>
    </w:p>
    <w:p>
      <w:pPr>
        <w:pStyle w:val="ListBullet"/>
        <w:spacing w:after="120"/>
      </w:pPr>
      <w:r>
        <w:t>I.6 — C–C bond energy in ethane, C–H in methane ✓ Report created</w:t>
      </w:r>
    </w:p>
    <w:p>
      <w:pPr>
        <w:pStyle w:val="ListBullet"/>
        <w:spacing w:after="120"/>
      </w:pPr>
      <w:r>
        <w:t>I.7 — Water geometry optimization in QE ✓ H₂O optimized</w:t>
      </w:r>
    </w:p>
    <w:p>
      <w:pPr>
        <w:pStyle w:val="ListBullet"/>
        <w:spacing w:after="120"/>
      </w:pPr>
      <w:r>
        <w:t>I.8 — UO₂I₂(OH₂)₂: MACE and NWChem ✓ Geometry optimized</w:t>
      </w:r>
    </w:p>
    <w:p>
      <w:pPr>
        <w:pStyle w:val="ListBullet"/>
        <w:spacing w:after="120"/>
      </w:pPr>
      <w:r>
        <w:t>Additional: Hg ionization potentials, VSEPR molecules, HF properties, GROMACS ✓ Done</w:t>
      </w:r>
    </w:p>
    <w:p>
      <w:pPr>
        <w:pStyle w:val="Heading1"/>
      </w:pPr>
      <w:r>
        <w:t>Part II. Materials Modeling</w:t>
      </w:r>
    </w:p>
    <w:p>
      <w:pPr>
        <w:pStyle w:val="ListBullet"/>
        <w:spacing w:after="120"/>
      </w:pPr>
      <w:r>
        <w:t>II.1 — Silicon unit cell total energy ✓ E = -227.71 eV (ASE)</w:t>
      </w:r>
    </w:p>
    <w:p>
      <w:pPr>
        <w:pStyle w:val="ListBullet"/>
        <w:spacing w:after="120"/>
      </w:pPr>
      <w:r>
        <w:t>II.2 — Convergence test: cutoff 65 Ry, k-point 14³ ✓ Completed</w:t>
      </w:r>
    </w:p>
    <w:p>
      <w:pPr>
        <w:pStyle w:val="ListBullet"/>
        <w:spacing w:after="120"/>
      </w:pPr>
      <w:r>
        <w:t>II.3 — Silicon cell relaxation ✓ a ≈ 5.469 Å, E = -230.28 eV</w:t>
      </w:r>
    </w:p>
    <w:p>
      <w:pPr>
        <w:pStyle w:val="ListBullet"/>
        <w:spacing w:after="120"/>
      </w:pPr>
      <w:r>
        <w:t>II.4 — Electronic properties of Si ✓ DOS, PDOS generated</w:t>
      </w:r>
    </w:p>
    <w:p>
      <w:pPr>
        <w:pStyle w:val="ListBullet"/>
        <w:spacing w:after="120"/>
      </w:pPr>
      <w:r>
        <w:t>II.5 — Aluminum electronic properties ✓ Full cycle: convergence → relaxation → DOS</w:t>
      </w:r>
    </w:p>
    <w:p>
      <w:pPr>
        <w:pStyle w:val="ListBullet"/>
        <w:spacing w:after="120"/>
      </w:pPr>
      <w:r>
        <w:t>II.6 — Graphene: convergence, relaxation, PDOS ✓ pz-orbitals dominate</w:t>
      </w:r>
    </w:p>
    <w:p>
      <w:pPr>
        <w:pStyle w:val="ListBullet"/>
        <w:spacing w:after="120"/>
      </w:pPr>
      <w:r>
        <w:t>II.7 — Graphene work function ✓ E_Fermi = -1.7174 eV</w:t>
      </w:r>
    </w:p>
    <w:p>
      <w:pPr>
        <w:pStyle w:val="ListBullet"/>
        <w:spacing w:after="120"/>
      </w:pPr>
      <w:r>
        <w:t>II.8 — Surface adsorption ✓ Hydrogen and mercury computed</w:t>
      </w:r>
    </w:p>
    <w:p>
      <w:pPr>
        <w:pStyle w:val="Heading1"/>
      </w:pPr>
      <w:r>
        <w:t>Key Results: II.8 — Mercury Adsorption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Site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E(Hg@C18) [eV]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E_ads [eV]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top (above C atom)</w:t>
            </w:r>
          </w:p>
        </w:tc>
        <w:tc>
          <w:tcPr>
            <w:tcW w:type="dxa" w:w="2880"/>
          </w:tcPr>
          <w:p>
            <w:r>
              <w:t>-7481.346431</w:t>
            </w:r>
          </w:p>
        </w:tc>
        <w:tc>
          <w:tcPr>
            <w:tcW w:type="dxa" w:w="2880"/>
          </w:tcPr>
          <w:p>
            <w:r>
              <w:t>-0.2378</w:t>
            </w:r>
          </w:p>
        </w:tc>
      </w:tr>
      <w:tr>
        <w:tc>
          <w:tcPr>
            <w:tcW w:type="dxa" w:w="2880"/>
          </w:tcPr>
          <w:p>
            <w:r>
              <w:t>bridge (mid-bond)</w:t>
            </w:r>
          </w:p>
        </w:tc>
        <w:tc>
          <w:tcPr>
            <w:tcW w:type="dxa" w:w="2880"/>
          </w:tcPr>
          <w:p>
            <w:r>
              <w:t>-7481.638000</w:t>
            </w:r>
          </w:p>
        </w:tc>
        <w:tc>
          <w:tcPr>
            <w:tcW w:type="dxa" w:w="2880"/>
          </w:tcPr>
          <w:p>
            <w:r>
              <w:t>-0.5294</w:t>
            </w:r>
          </w:p>
        </w:tc>
      </w:tr>
      <w:tr>
        <w:tc>
          <w:tcPr>
            <w:tcW w:type="dxa" w:w="2880"/>
          </w:tcPr>
          <w:p>
            <w:r>
              <w:t>hollow (hexagon center)</w:t>
            </w:r>
          </w:p>
        </w:tc>
        <w:tc>
          <w:tcPr>
            <w:tcW w:type="dxa" w:w="2880"/>
          </w:tcPr>
          <w:p>
            <w:r>
              <w:t>-7481.774037</w:t>
            </w:r>
          </w:p>
        </w:tc>
        <w:tc>
          <w:tcPr>
            <w:tcW w:type="dxa" w:w="2880"/>
          </w:tcPr>
          <w:p>
            <w:r>
              <w:t>-0.6655</w:t>
            </w:r>
          </w:p>
        </w:tc>
      </w:tr>
    </w:tbl>
    <w:p/>
    <w:p>
      <w:r>
        <w:br/>
        <w:t>The hollow site is favored by 0.43 eV over top. For comparison, hydrogen on C8 has E_bind = 2.8639 eV (chemisorption vs. physisorption).</w:t>
      </w:r>
    </w:p>
    <w:p>
      <w:pPr>
        <w:pStyle w:val="Heading1"/>
      </w:pPr>
      <w:r>
        <w:t>Uncompleted Challenges (Optional)</w:t>
      </w:r>
    </w:p>
    <w:p>
      <w:r>
        <w:t>• Challenge II.8: relax clean C8 slab, recalculate adsorption energy</w:t>
        <w:br/>
        <w:t>• Challenge II.2: run Si_force_stress.in (forces/stresses)</w:t>
        <w:br/>
        <w:t>• Challenge I.7: relax CH₄ in QE</w:t>
        <w:br/>
        <w:t>• Re-run work function without assume_isolated (II.7)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