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F4544B" w14:textId="77777777" w:rsidR="00320009" w:rsidRDefault="00261BDD">
      <w:pPr>
        <w:jc w:val="center"/>
      </w:pPr>
      <w:r>
        <w:rPr>
          <w:b/>
        </w:rPr>
        <w:t>PRÁVO INFORMAČNÝCH A KOMUNIKAČNÝCH TECHNOLÓGIÍ</w:t>
      </w:r>
    </w:p>
    <w:p w14:paraId="1B52AA39" w14:textId="77777777" w:rsidR="00320009" w:rsidRDefault="00261BDD">
      <w:pPr>
        <w:jc w:val="center"/>
      </w:pPr>
      <w:r>
        <w:rPr>
          <w:b/>
        </w:rPr>
        <w:t>Právne vzťahy, Európske právo</w:t>
      </w:r>
    </w:p>
    <w:p w14:paraId="4D59128A" w14:textId="77777777" w:rsidR="00320009" w:rsidRDefault="00320009">
      <w:pPr>
        <w:jc w:val="both"/>
      </w:pPr>
    </w:p>
    <w:p w14:paraId="6D291D0F" w14:textId="77777777" w:rsidR="00320009" w:rsidRDefault="00261BDD">
      <w:pPr>
        <w:numPr>
          <w:ilvl w:val="0"/>
          <w:numId w:val="1"/>
        </w:numPr>
        <w:ind w:left="405" w:hanging="360"/>
        <w:contextualSpacing/>
        <w:jc w:val="both"/>
        <w:rPr>
          <w:b/>
        </w:rPr>
      </w:pPr>
      <w:r>
        <w:rPr>
          <w:b/>
        </w:rPr>
        <w:t>V nasledujúcich právnych vzťahoch určte prvky (</w:t>
      </w:r>
      <w:r w:rsidRPr="00E031C6">
        <w:rPr>
          <w:b/>
          <w:highlight w:val="green"/>
        </w:rPr>
        <w:t>subjekt</w:t>
      </w:r>
      <w:r>
        <w:rPr>
          <w:b/>
        </w:rPr>
        <w:t xml:space="preserve">, </w:t>
      </w:r>
      <w:r w:rsidRPr="00E031C6">
        <w:rPr>
          <w:b/>
          <w:highlight w:val="yellow"/>
        </w:rPr>
        <w:t>objekt</w:t>
      </w:r>
      <w:r>
        <w:rPr>
          <w:b/>
        </w:rPr>
        <w:t xml:space="preserve">, </w:t>
      </w:r>
      <w:r w:rsidRPr="00E031C6">
        <w:rPr>
          <w:b/>
          <w:highlight w:val="cyan"/>
        </w:rPr>
        <w:t>obsah</w:t>
      </w:r>
      <w:r>
        <w:rPr>
          <w:b/>
        </w:rPr>
        <w:t>) právneho vzťahu.</w:t>
      </w:r>
    </w:p>
    <w:p w14:paraId="5D4CBBFD" w14:textId="77777777" w:rsidR="00320009" w:rsidRDefault="00320009">
      <w:pPr>
        <w:spacing w:line="360" w:lineRule="auto"/>
        <w:jc w:val="both"/>
      </w:pPr>
    </w:p>
    <w:p w14:paraId="63D4B658" w14:textId="77777777" w:rsidR="00320009" w:rsidRDefault="00261BDD">
      <w:pPr>
        <w:spacing w:line="360" w:lineRule="auto"/>
        <w:jc w:val="both"/>
      </w:pPr>
      <w:r>
        <w:rPr>
          <w:sz w:val="20"/>
          <w:szCs w:val="20"/>
        </w:rPr>
        <w:t xml:space="preserve">a) Vzťah </w:t>
      </w:r>
      <w:r w:rsidRPr="00E031C6">
        <w:rPr>
          <w:sz w:val="20"/>
          <w:szCs w:val="20"/>
          <w:highlight w:val="green"/>
        </w:rPr>
        <w:t>príslušníka</w:t>
      </w:r>
      <w:r>
        <w:rPr>
          <w:sz w:val="20"/>
          <w:szCs w:val="20"/>
        </w:rPr>
        <w:t xml:space="preserve"> Policajného zboru a </w:t>
      </w:r>
      <w:r w:rsidRPr="00E031C6">
        <w:rPr>
          <w:sz w:val="20"/>
          <w:szCs w:val="20"/>
          <w:highlight w:val="green"/>
        </w:rPr>
        <w:t>vodiča</w:t>
      </w:r>
      <w:r>
        <w:rPr>
          <w:sz w:val="20"/>
          <w:szCs w:val="20"/>
        </w:rPr>
        <w:t xml:space="preserve"> </w:t>
      </w:r>
      <w:r w:rsidRPr="00B6514E">
        <w:rPr>
          <w:sz w:val="20"/>
          <w:szCs w:val="20"/>
        </w:rPr>
        <w:t>motorového vozidla</w:t>
      </w:r>
      <w:r>
        <w:rPr>
          <w:sz w:val="20"/>
          <w:szCs w:val="20"/>
        </w:rPr>
        <w:t xml:space="preserve"> pri </w:t>
      </w:r>
      <w:r w:rsidRPr="00E031C6">
        <w:rPr>
          <w:sz w:val="20"/>
          <w:szCs w:val="20"/>
          <w:highlight w:val="cyan"/>
        </w:rPr>
        <w:t>kontrole</w:t>
      </w:r>
      <w:r>
        <w:rPr>
          <w:sz w:val="20"/>
          <w:szCs w:val="20"/>
        </w:rPr>
        <w:t xml:space="preserve"> </w:t>
      </w:r>
      <w:r w:rsidRPr="00B6514E">
        <w:rPr>
          <w:sz w:val="20"/>
          <w:szCs w:val="20"/>
          <w:highlight w:val="yellow"/>
        </w:rPr>
        <w:t>lekárničky</w:t>
      </w:r>
      <w:r>
        <w:rPr>
          <w:sz w:val="20"/>
          <w:szCs w:val="20"/>
        </w:rPr>
        <w:t xml:space="preserve"> vo vozidle</w:t>
      </w:r>
    </w:p>
    <w:p w14:paraId="72643B36" w14:textId="5406D7AE" w:rsidR="00320009" w:rsidRDefault="00261BDD">
      <w:pPr>
        <w:spacing w:line="360" w:lineRule="auto"/>
        <w:jc w:val="both"/>
      </w:pPr>
      <w:r>
        <w:rPr>
          <w:sz w:val="20"/>
          <w:szCs w:val="20"/>
        </w:rPr>
        <w:t xml:space="preserve">b) </w:t>
      </w:r>
      <w:r w:rsidRPr="00E031C6">
        <w:rPr>
          <w:sz w:val="20"/>
          <w:szCs w:val="20"/>
          <w:highlight w:val="cyan"/>
        </w:rPr>
        <w:t>Povinnosť dať zapísať</w:t>
      </w:r>
      <w:r>
        <w:rPr>
          <w:sz w:val="20"/>
          <w:szCs w:val="20"/>
        </w:rPr>
        <w:t xml:space="preserve"> </w:t>
      </w:r>
      <w:r w:rsidRPr="00E031C6">
        <w:rPr>
          <w:sz w:val="20"/>
          <w:szCs w:val="20"/>
          <w:highlight w:val="yellow"/>
        </w:rPr>
        <w:t>dieťa</w:t>
      </w:r>
      <w:r>
        <w:rPr>
          <w:sz w:val="20"/>
          <w:szCs w:val="20"/>
        </w:rPr>
        <w:t xml:space="preserve"> do základnej školy</w:t>
      </w:r>
      <w:r w:rsidR="00E031C6">
        <w:rPr>
          <w:sz w:val="20"/>
          <w:szCs w:val="20"/>
        </w:rPr>
        <w:t xml:space="preserve"> ...</w:t>
      </w:r>
      <w:r w:rsidR="00E031C6" w:rsidRPr="00E031C6">
        <w:rPr>
          <w:sz w:val="20"/>
          <w:szCs w:val="20"/>
          <w:highlight w:val="green"/>
        </w:rPr>
        <w:t>povinný</w:t>
      </w:r>
    </w:p>
    <w:p w14:paraId="0A408061" w14:textId="4B65EFB1" w:rsidR="00320009" w:rsidRDefault="00261BDD">
      <w:pPr>
        <w:spacing w:line="360" w:lineRule="auto"/>
        <w:jc w:val="both"/>
      </w:pPr>
      <w:r>
        <w:rPr>
          <w:sz w:val="20"/>
          <w:szCs w:val="20"/>
        </w:rPr>
        <w:t xml:space="preserve">c) </w:t>
      </w:r>
      <w:r w:rsidRPr="00E031C6">
        <w:rPr>
          <w:sz w:val="20"/>
          <w:szCs w:val="20"/>
          <w:highlight w:val="cyan"/>
        </w:rPr>
        <w:t>Zakúpenie</w:t>
      </w:r>
      <w:r>
        <w:rPr>
          <w:sz w:val="20"/>
          <w:szCs w:val="20"/>
        </w:rPr>
        <w:t xml:space="preserve"> </w:t>
      </w:r>
      <w:r w:rsidRPr="00E031C6">
        <w:rPr>
          <w:sz w:val="20"/>
          <w:szCs w:val="20"/>
          <w:highlight w:val="yellow"/>
        </w:rPr>
        <w:t>knihy</w:t>
      </w:r>
      <w:r>
        <w:rPr>
          <w:sz w:val="20"/>
          <w:szCs w:val="20"/>
        </w:rPr>
        <w:t xml:space="preserve"> v kníhkupectve </w:t>
      </w:r>
      <w:r w:rsidR="00E031C6">
        <w:rPr>
          <w:sz w:val="20"/>
          <w:szCs w:val="20"/>
        </w:rPr>
        <w:t>...</w:t>
      </w:r>
      <w:r w:rsidR="00E031C6" w:rsidRPr="00E031C6">
        <w:rPr>
          <w:sz w:val="20"/>
          <w:szCs w:val="20"/>
          <w:highlight w:val="green"/>
        </w:rPr>
        <w:t>kupca</w:t>
      </w:r>
    </w:p>
    <w:p w14:paraId="6789C328" w14:textId="77777777" w:rsidR="00320009" w:rsidRDefault="00320009">
      <w:pPr>
        <w:jc w:val="both"/>
      </w:pPr>
    </w:p>
    <w:p w14:paraId="2B10BF08" w14:textId="77777777" w:rsidR="00320009" w:rsidRDefault="00261BDD">
      <w:pPr>
        <w:jc w:val="both"/>
      </w:pPr>
      <w:r>
        <w:rPr>
          <w:b/>
        </w:rPr>
        <w:t xml:space="preserve">2. Prípad na </w:t>
      </w:r>
      <w:r w:rsidRPr="00E031C6">
        <w:rPr>
          <w:b/>
          <w:highlight w:val="magenta"/>
        </w:rPr>
        <w:t>právne skutočnosti</w:t>
      </w:r>
    </w:p>
    <w:p w14:paraId="3C7D6628" w14:textId="77777777" w:rsidR="00320009" w:rsidRDefault="00261BDD">
      <w:pPr>
        <w:jc w:val="both"/>
      </w:pPr>
      <w:r>
        <w:t xml:space="preserve">Do autobusu </w:t>
      </w:r>
      <w:r w:rsidRPr="00E031C6">
        <w:rPr>
          <w:highlight w:val="magenta"/>
        </w:rPr>
        <w:t>nastupovala</w:t>
      </w:r>
      <w:r>
        <w:t xml:space="preserve"> tehotná žena. Keďže na schodoch sa šmýkalo, poprosila o pomoc blízko stojaceho pána, ktorý jej ochotne pomohol. Chcela si sadnúť na miesto vyhradené pre matky s deťmi, avšak na ňom sediaci mladík jej drzo odfrkol, že ona je „len“ tehotná a teda miesto nie je určené pre ňu. Pani potrebovala vystúpiť na ďalšej zastávke. Keďže bol autobus preplnený, </w:t>
      </w:r>
      <w:r w:rsidRPr="00E031C6">
        <w:rPr>
          <w:highlight w:val="magenta"/>
        </w:rPr>
        <w:t>nepodarilo sa jej dostať ku dverám a bola nútená pokračovať v ceste</w:t>
      </w:r>
      <w:r>
        <w:t xml:space="preserve"> na ďalšiu zastávku. Počas nedobrovoľne predĺženej jazdy začal v autobuse </w:t>
      </w:r>
      <w:r w:rsidRPr="00E031C6">
        <w:rPr>
          <w:highlight w:val="magenta"/>
        </w:rPr>
        <w:t>kontrolovať cestovné lístky</w:t>
      </w:r>
      <w:r>
        <w:t xml:space="preserve"> revízor. Keďže pani mala </w:t>
      </w:r>
      <w:r w:rsidRPr="00E031C6">
        <w:rPr>
          <w:highlight w:val="magenta"/>
        </w:rPr>
        <w:t>zakúpený časový lístok</w:t>
      </w:r>
      <w:r>
        <w:t xml:space="preserve"> len na predchádzajúcu zastávku, revízor od nej </w:t>
      </w:r>
      <w:r w:rsidRPr="00E031C6">
        <w:rPr>
          <w:highlight w:val="magenta"/>
        </w:rPr>
        <w:t>žiadal zaplatiť pokutu</w:t>
      </w:r>
      <w:r>
        <w:t>.</w:t>
      </w:r>
    </w:p>
    <w:p w14:paraId="31C4D49D" w14:textId="77777777" w:rsidR="00320009" w:rsidRDefault="00320009">
      <w:pPr>
        <w:jc w:val="both"/>
      </w:pPr>
    </w:p>
    <w:p w14:paraId="671D5AD5" w14:textId="77777777" w:rsidR="00320009" w:rsidRDefault="00261BDD">
      <w:pPr>
        <w:jc w:val="both"/>
      </w:pPr>
      <w:r>
        <w:t>a) V zadanom prípade vypíšte všetky situácie, ktoré môžeme označiť ako právne skutočnosti. Svoje tvrdenie odôvodnite.</w:t>
      </w:r>
    </w:p>
    <w:p w14:paraId="6C328860" w14:textId="77777777" w:rsidR="00320009" w:rsidRDefault="00261BDD">
      <w:pPr>
        <w:jc w:val="both"/>
      </w:pPr>
      <w:r>
        <w:t>b) Aký je rozdiel medzi právnou skutočnosťou a právnou udalosťou?</w:t>
      </w:r>
    </w:p>
    <w:p w14:paraId="69A6B366" w14:textId="77777777" w:rsidR="00320009" w:rsidRDefault="00320009">
      <w:pPr>
        <w:jc w:val="both"/>
      </w:pPr>
    </w:p>
    <w:p w14:paraId="3B3D38E1" w14:textId="77777777" w:rsidR="00320009" w:rsidRDefault="00261BDD">
      <w:pPr>
        <w:jc w:val="both"/>
      </w:pPr>
      <w:r>
        <w:rPr>
          <w:b/>
        </w:rPr>
        <w:t>3. K pojmom zaraďte definície</w:t>
      </w:r>
    </w:p>
    <w:p w14:paraId="36BBEE00" w14:textId="77777777" w:rsidR="00320009" w:rsidRDefault="00320009">
      <w:pPr>
        <w:jc w:val="both"/>
      </w:pPr>
    </w:p>
    <w:p w14:paraId="62A63CCE" w14:textId="77777777" w:rsidR="00320009" w:rsidRDefault="00261BDD">
      <w:pPr>
        <w:jc w:val="both"/>
      </w:pPr>
      <w:r w:rsidRPr="00E031C6">
        <w:rPr>
          <w:highlight w:val="darkYellow"/>
        </w:rPr>
        <w:t>1.</w:t>
      </w:r>
      <w:r>
        <w:t xml:space="preserve"> Nariadenie</w:t>
      </w:r>
    </w:p>
    <w:p w14:paraId="1E779DA1" w14:textId="77777777" w:rsidR="00320009" w:rsidRDefault="00261BDD">
      <w:pPr>
        <w:jc w:val="both"/>
      </w:pPr>
      <w:r w:rsidRPr="00E031C6">
        <w:rPr>
          <w:highlight w:val="red"/>
        </w:rPr>
        <w:t>2.</w:t>
      </w:r>
      <w:r>
        <w:t xml:space="preserve"> Smernica</w:t>
      </w:r>
    </w:p>
    <w:p w14:paraId="6DE6E774" w14:textId="77777777" w:rsidR="00320009" w:rsidRDefault="00261BDD">
      <w:pPr>
        <w:jc w:val="both"/>
      </w:pPr>
      <w:r w:rsidRPr="00E031C6">
        <w:rPr>
          <w:highlight w:val="darkGreen"/>
        </w:rPr>
        <w:t>3</w:t>
      </w:r>
      <w:r>
        <w:t>. Rozhodnutie</w:t>
      </w:r>
    </w:p>
    <w:p w14:paraId="4E4A2F4C" w14:textId="77777777" w:rsidR="00320009" w:rsidRDefault="00261BDD">
      <w:pPr>
        <w:jc w:val="both"/>
      </w:pPr>
      <w:r w:rsidRPr="00E031C6">
        <w:rPr>
          <w:highlight w:val="magenta"/>
        </w:rPr>
        <w:t>4.</w:t>
      </w:r>
      <w:r>
        <w:t xml:space="preserve"> Stanovisko</w:t>
      </w:r>
    </w:p>
    <w:p w14:paraId="0F054EA7" w14:textId="77777777" w:rsidR="00320009" w:rsidRDefault="00261BDD">
      <w:pPr>
        <w:jc w:val="both"/>
      </w:pPr>
      <w:r w:rsidRPr="00E031C6">
        <w:rPr>
          <w:highlight w:val="cyan"/>
        </w:rPr>
        <w:t>5.</w:t>
      </w:r>
      <w:r>
        <w:t xml:space="preserve"> Odporúčanie</w:t>
      </w:r>
    </w:p>
    <w:p w14:paraId="59A7208D" w14:textId="77777777" w:rsidR="00320009" w:rsidRDefault="00320009">
      <w:pPr>
        <w:jc w:val="both"/>
      </w:pPr>
    </w:p>
    <w:p w14:paraId="7B98B0CA" w14:textId="77777777" w:rsidR="00320009" w:rsidRDefault="00261BDD">
      <w:pPr>
        <w:jc w:val="both"/>
      </w:pPr>
      <w:r w:rsidRPr="00E031C6">
        <w:rPr>
          <w:highlight w:val="darkGreen"/>
        </w:rPr>
        <w:t>a)</w:t>
      </w:r>
      <w:r>
        <w:t xml:space="preserve"> Individuálny právny akt záväzný iba pre toho aktéra, ktorému je adresovaný. Môže sa jednať o európsku inštitúciu, členský štát, alebo konkrétnu osobu.</w:t>
      </w:r>
    </w:p>
    <w:p w14:paraId="2BC320FB" w14:textId="77777777" w:rsidR="00320009" w:rsidRDefault="00261BDD">
      <w:pPr>
        <w:jc w:val="both"/>
      </w:pPr>
      <w:r w:rsidRPr="00E031C6">
        <w:rPr>
          <w:highlight w:val="magenta"/>
        </w:rPr>
        <w:t>b)</w:t>
      </w:r>
      <w:r>
        <w:t xml:space="preserve"> Nástroj na vyjadrovanie nezáväzných postojov – t. j. bez právnych následkov pre jeho adresátov. Nie je právne záväzné. Môže byť vydané hlavnými inštitúciami EÚ (Komisia, Rada, Parlament), Výborom regiónov a Európskym hospodárskym a sociálnym výborom.</w:t>
      </w:r>
    </w:p>
    <w:p w14:paraId="77D510BA" w14:textId="77777777" w:rsidR="00320009" w:rsidRDefault="00261BDD">
      <w:pPr>
        <w:jc w:val="both"/>
      </w:pPr>
      <w:r w:rsidRPr="00E031C6">
        <w:rPr>
          <w:highlight w:val="darkYellow"/>
        </w:rPr>
        <w:t>c)</w:t>
      </w:r>
      <w:r>
        <w:t xml:space="preserve"> Všeobecne záväzný právny akt, ktorý je priamo uplatniteľný vo svojej celistvosti v celej EÚ.</w:t>
      </w:r>
    </w:p>
    <w:p w14:paraId="43EF9DB7" w14:textId="77777777" w:rsidR="00320009" w:rsidRDefault="00261BDD">
      <w:pPr>
        <w:jc w:val="both"/>
      </w:pPr>
      <w:r w:rsidRPr="00E031C6">
        <w:rPr>
          <w:sz w:val="20"/>
          <w:szCs w:val="20"/>
          <w:highlight w:val="cyan"/>
        </w:rPr>
        <w:t>d)</w:t>
      </w:r>
      <w:r>
        <w:rPr>
          <w:sz w:val="20"/>
          <w:szCs w:val="20"/>
        </w:rPr>
        <w:t xml:space="preserve"> Nie je právne záväzné. Je nositeľom morálnych a politických posolstiev. Jeho rešpektovanie je postavené na báze dobrovoľnosti.</w:t>
      </w:r>
    </w:p>
    <w:p w14:paraId="5A824FEB" w14:textId="77777777" w:rsidR="00320009" w:rsidRDefault="00261BDD">
      <w:pPr>
        <w:jc w:val="both"/>
      </w:pPr>
      <w:r w:rsidRPr="00E031C6">
        <w:rPr>
          <w:highlight w:val="red"/>
        </w:rPr>
        <w:t>e)</w:t>
      </w:r>
      <w:r>
        <w:t xml:space="preserve"> Nie je všeobecne záväzný normatívny akt. Záväzný iba pre tú členskú krajinu EÚ, ktorej je adresovaná a vzhľadom na cieľ, ktorý má ňou byť dosiahnutý.</w:t>
      </w:r>
    </w:p>
    <w:p w14:paraId="5440CD6D" w14:textId="77777777" w:rsidR="00320009" w:rsidRDefault="00261BDD">
      <w:pPr>
        <w:jc w:val="both"/>
      </w:pPr>
      <w:r>
        <w:rPr>
          <w:b/>
        </w:rPr>
        <w:t xml:space="preserve"> </w:t>
      </w:r>
    </w:p>
    <w:p w14:paraId="5515AD62" w14:textId="77777777" w:rsidR="00320009" w:rsidRDefault="00261BDD">
      <w:pPr>
        <w:jc w:val="both"/>
      </w:pPr>
      <w:r>
        <w:rPr>
          <w:b/>
        </w:rPr>
        <w:t xml:space="preserve">4. Nasledujúce pramene práva EÚ rozdeľte medzi </w:t>
      </w:r>
      <w:r w:rsidRPr="00E031C6">
        <w:rPr>
          <w:b/>
          <w:highlight w:val="red"/>
        </w:rPr>
        <w:t>primárne</w:t>
      </w:r>
      <w:r>
        <w:rPr>
          <w:b/>
        </w:rPr>
        <w:t xml:space="preserve"> právo, </w:t>
      </w:r>
      <w:r w:rsidRPr="00E031C6">
        <w:rPr>
          <w:b/>
          <w:highlight w:val="cyan"/>
        </w:rPr>
        <w:t>sekundárne</w:t>
      </w:r>
      <w:r>
        <w:rPr>
          <w:b/>
        </w:rPr>
        <w:t xml:space="preserve"> právo, základné </w:t>
      </w:r>
      <w:r w:rsidRPr="00E031C6">
        <w:rPr>
          <w:b/>
          <w:highlight w:val="green"/>
        </w:rPr>
        <w:t>zásady</w:t>
      </w:r>
      <w:r>
        <w:rPr>
          <w:b/>
        </w:rPr>
        <w:t xml:space="preserve"> práva EÚ, medzinárodné </w:t>
      </w:r>
      <w:r w:rsidRPr="00E031C6">
        <w:rPr>
          <w:b/>
          <w:highlight w:val="yellow"/>
        </w:rPr>
        <w:t>dohody</w:t>
      </w:r>
      <w:r>
        <w:rPr>
          <w:b/>
        </w:rPr>
        <w:t xml:space="preserve"> a </w:t>
      </w:r>
      <w:r w:rsidRPr="00E031C6">
        <w:rPr>
          <w:b/>
          <w:highlight w:val="magenta"/>
        </w:rPr>
        <w:t>judikatúru</w:t>
      </w:r>
      <w:r>
        <w:rPr>
          <w:b/>
        </w:rPr>
        <w:t xml:space="preserve"> SDEÚ</w:t>
      </w:r>
    </w:p>
    <w:p w14:paraId="3BA959D3" w14:textId="77777777" w:rsidR="00320009" w:rsidRDefault="00261BDD">
      <w:pPr>
        <w:jc w:val="both"/>
      </w:pPr>
      <w:r>
        <w:t xml:space="preserve">a) </w:t>
      </w:r>
      <w:r w:rsidRPr="00E031C6">
        <w:rPr>
          <w:highlight w:val="cyan"/>
        </w:rPr>
        <w:t>Smernica</w:t>
      </w:r>
      <w:r>
        <w:t xml:space="preserve"> Európskeho parlamentu a Rady 95/46/EHS z 24. októbra 1995 o ochrane fyzických osôb pri spracovaní osobných údajov a voľnom pohybe týchto údajov</w:t>
      </w:r>
    </w:p>
    <w:p w14:paraId="6AE7C998" w14:textId="77777777" w:rsidR="00320009" w:rsidRDefault="00261BDD">
      <w:pPr>
        <w:jc w:val="both"/>
      </w:pPr>
      <w:r>
        <w:lastRenderedPageBreak/>
        <w:t>b)</w:t>
      </w:r>
      <w:r w:rsidRPr="00E031C6">
        <w:rPr>
          <w:highlight w:val="red"/>
        </w:rPr>
        <w:t>Charta</w:t>
      </w:r>
      <w:r>
        <w:t xml:space="preserve"> základných práv Európskej únie</w:t>
      </w:r>
    </w:p>
    <w:p w14:paraId="592DB32B" w14:textId="77777777" w:rsidR="00320009" w:rsidRDefault="00261BDD">
      <w:pPr>
        <w:jc w:val="both"/>
      </w:pPr>
      <w:r>
        <w:t xml:space="preserve">c) </w:t>
      </w:r>
      <w:r w:rsidRPr="00E031C6">
        <w:rPr>
          <w:highlight w:val="red"/>
        </w:rPr>
        <w:t>Zmluva</w:t>
      </w:r>
      <w:r>
        <w:t xml:space="preserve"> o fungovaní Európskej únie</w:t>
      </w:r>
    </w:p>
    <w:p w14:paraId="493F68A3" w14:textId="77777777" w:rsidR="00320009" w:rsidRDefault="00261BDD">
      <w:pPr>
        <w:jc w:val="both"/>
      </w:pPr>
      <w:r>
        <w:t xml:space="preserve">d) </w:t>
      </w:r>
      <w:r w:rsidRPr="00E031C6">
        <w:rPr>
          <w:highlight w:val="cyan"/>
        </w:rPr>
        <w:t>Nariadenie</w:t>
      </w:r>
      <w:r>
        <w:t xml:space="preserve"> Európskeho parlamentu a Rady (ES) č. 733/2002 z 22. apríla 2002 o zavedení domény najvyššej úrovne „.</w:t>
      </w:r>
      <w:proofErr w:type="spellStart"/>
      <w:r>
        <w:t>eu</w:t>
      </w:r>
      <w:proofErr w:type="spellEnd"/>
      <w:r>
        <w:t>“</w:t>
      </w:r>
    </w:p>
    <w:p w14:paraId="209E2443" w14:textId="77777777" w:rsidR="00320009" w:rsidRDefault="00261BDD">
      <w:pPr>
        <w:jc w:val="both"/>
      </w:pPr>
      <w:r>
        <w:t xml:space="preserve">e) </w:t>
      </w:r>
      <w:r w:rsidRPr="00E031C6">
        <w:rPr>
          <w:highlight w:val="magenta"/>
        </w:rPr>
        <w:t>Rozhodnutie</w:t>
      </w:r>
      <w:r>
        <w:t xml:space="preserve"> Komisie z 25. februára 2011, ktorým sa ustanovujú minimálne požiadavky na cezhraničné spracovanie dokumentov elektronicky podpísaných príslušnými orgánmi v zmysle smernice Európskeho parlamentu a Rady 2006/123/ES o službách na vnútornom trhu.</w:t>
      </w:r>
    </w:p>
    <w:p w14:paraId="6DE1D928" w14:textId="77777777" w:rsidR="00320009" w:rsidRDefault="00261BDD">
      <w:pPr>
        <w:jc w:val="both"/>
      </w:pPr>
      <w:r>
        <w:t xml:space="preserve">f) </w:t>
      </w:r>
      <w:r w:rsidRPr="00E031C6">
        <w:rPr>
          <w:highlight w:val="red"/>
        </w:rPr>
        <w:t>Zmluva</w:t>
      </w:r>
      <w:r>
        <w:t xml:space="preserve"> o Európskej únii</w:t>
      </w:r>
    </w:p>
    <w:p w14:paraId="0C54C3ED" w14:textId="77777777" w:rsidR="00320009" w:rsidRDefault="00261BDD">
      <w:pPr>
        <w:jc w:val="both"/>
      </w:pPr>
      <w:r>
        <w:t xml:space="preserve">g) </w:t>
      </w:r>
      <w:r w:rsidRPr="00E031C6">
        <w:rPr>
          <w:highlight w:val="magenta"/>
        </w:rPr>
        <w:t>Rozhodnutie</w:t>
      </w:r>
      <w:r>
        <w:t xml:space="preserve"> Súdneho dvora Európskej únie vo veci C-131/12 Google Spain SL, Google </w:t>
      </w:r>
      <w:proofErr w:type="spellStart"/>
      <w:r>
        <w:t>Inc</w:t>
      </w:r>
      <w:proofErr w:type="spellEnd"/>
      <w:r>
        <w:t xml:space="preserve">. proti </w:t>
      </w:r>
      <w:proofErr w:type="spellStart"/>
      <w:r>
        <w:t>Agencia</w:t>
      </w:r>
      <w:proofErr w:type="spellEnd"/>
      <w:r>
        <w:t xml:space="preserve"> </w:t>
      </w:r>
      <w:proofErr w:type="spellStart"/>
      <w:r>
        <w:t>Española</w:t>
      </w:r>
      <w:proofErr w:type="spellEnd"/>
      <w:r>
        <w:t xml:space="preserve"> de </w:t>
      </w:r>
      <w:proofErr w:type="spellStart"/>
      <w:r>
        <w:t>Protección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Mariovi</w:t>
      </w:r>
      <w:proofErr w:type="spellEnd"/>
      <w:r>
        <w:t xml:space="preserve"> </w:t>
      </w:r>
      <w:proofErr w:type="spellStart"/>
      <w:r>
        <w:t>Costejovi</w:t>
      </w:r>
      <w:proofErr w:type="spellEnd"/>
      <w:r>
        <w:t xml:space="preserve"> </w:t>
      </w:r>
      <w:proofErr w:type="spellStart"/>
      <w:r>
        <w:t>Gonzálezovi</w:t>
      </w:r>
      <w:proofErr w:type="spellEnd"/>
    </w:p>
    <w:p w14:paraId="2AED2042" w14:textId="77777777" w:rsidR="00320009" w:rsidRDefault="00261BDD">
      <w:pPr>
        <w:jc w:val="both"/>
      </w:pPr>
      <w:r>
        <w:t xml:space="preserve">h) </w:t>
      </w:r>
      <w:r w:rsidRPr="00E031C6">
        <w:rPr>
          <w:highlight w:val="magenta"/>
        </w:rPr>
        <w:t>Rozhodnutie</w:t>
      </w:r>
      <w:r>
        <w:t xml:space="preserve"> Európskeho parlamentu a Rady č. 573/2007/ES z 23. mája 2007, ktorým sa zriaďuje Európsky fond pre utečencov na roky 2008-2013 ako súčasť všeobecného programu Solidarita a riadenie migračných tokov a ktorým sa zrušuje rozhodnutie Rady 2004/904/ES (</w:t>
      </w:r>
      <w:proofErr w:type="spellStart"/>
      <w:r>
        <w:t>Ú.v</w:t>
      </w:r>
      <w:proofErr w:type="spellEnd"/>
      <w:r>
        <w:t>. EÚ L 144, 06.06.2007);</w:t>
      </w:r>
    </w:p>
    <w:p w14:paraId="65FB508D" w14:textId="77777777" w:rsidR="00320009" w:rsidRDefault="00261BDD">
      <w:pPr>
        <w:jc w:val="both"/>
      </w:pPr>
      <w:r>
        <w:t xml:space="preserve">i) </w:t>
      </w:r>
      <w:r w:rsidRPr="00E031C6">
        <w:rPr>
          <w:highlight w:val="cyan"/>
        </w:rPr>
        <w:t>Odporúčanie</w:t>
      </w:r>
      <w:r>
        <w:t xml:space="preserve"> Rady, ktoré sa týka národného programu reforiem Slovenska na rok 2015 a ktorým sa predkladá stanovisko Rady k programu stability Slovenska na rok 2015.</w:t>
      </w:r>
    </w:p>
    <w:p w14:paraId="754E237C" w14:textId="77777777" w:rsidR="00320009" w:rsidRDefault="00261BDD">
      <w:pPr>
        <w:jc w:val="both"/>
      </w:pPr>
      <w:r>
        <w:t xml:space="preserve">j) </w:t>
      </w:r>
      <w:r w:rsidRPr="00E031C6">
        <w:rPr>
          <w:highlight w:val="yellow"/>
        </w:rPr>
        <w:t>Dohoda</w:t>
      </w:r>
      <w:r>
        <w:t xml:space="preserve"> medzi Európskym spoločenstvom a vládou Japonska o vedeckej a technickej spolupráci</w:t>
      </w:r>
    </w:p>
    <w:p w14:paraId="51B44C53" w14:textId="77777777" w:rsidR="00320009" w:rsidRDefault="00261BDD">
      <w:pPr>
        <w:jc w:val="both"/>
      </w:pPr>
      <w:r>
        <w:t xml:space="preserve">k) </w:t>
      </w:r>
      <w:r w:rsidRPr="00E031C6">
        <w:rPr>
          <w:highlight w:val="cyan"/>
        </w:rPr>
        <w:t>Stanovisko</w:t>
      </w:r>
      <w:r>
        <w:t xml:space="preserve"> Komisie z 31. mája 1985 k žiadostiam o pristúpenie Španielskeho kráľovstva a Portugalskej republiky k Európskym spoločenstvám</w:t>
      </w:r>
    </w:p>
    <w:p w14:paraId="0CE0E4CC" w14:textId="77777777" w:rsidR="00320009" w:rsidRDefault="00261BDD">
      <w:pPr>
        <w:jc w:val="both"/>
      </w:pPr>
      <w:r>
        <w:t xml:space="preserve">l) </w:t>
      </w:r>
      <w:r w:rsidRPr="00E031C6">
        <w:rPr>
          <w:highlight w:val="green"/>
        </w:rPr>
        <w:t>Zásada</w:t>
      </w:r>
      <w:r>
        <w:t xml:space="preserve"> voľného pohybu</w:t>
      </w:r>
    </w:p>
    <w:p w14:paraId="2AB61504" w14:textId="77777777" w:rsidR="00320009" w:rsidRDefault="00320009"/>
    <w:p w14:paraId="2651090E" w14:textId="77777777" w:rsidR="00320009" w:rsidRDefault="00320009"/>
    <w:sectPr w:rsidR="00320009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3741D"/>
    <w:multiLevelType w:val="multilevel"/>
    <w:tmpl w:val="898677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09"/>
    <w:rsid w:val="00261BDD"/>
    <w:rsid w:val="00320009"/>
    <w:rsid w:val="00B6514E"/>
    <w:rsid w:val="00BC785B"/>
    <w:rsid w:val="00E0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CF29"/>
  <w15:docId w15:val="{048C5047-98BC-40E0-97A1-A3C1F8C5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  <w:contextualSpacing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61B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1B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AK-Stahula</dc:creator>
  <cp:lastModifiedBy>Emma Macháčová</cp:lastModifiedBy>
  <cp:revision>5</cp:revision>
  <cp:lastPrinted>2015-10-06T17:08:00Z</cp:lastPrinted>
  <dcterms:created xsi:type="dcterms:W3CDTF">2015-10-06T17:16:00Z</dcterms:created>
  <dcterms:modified xsi:type="dcterms:W3CDTF">2021-10-04T18:54:00Z</dcterms:modified>
</cp:coreProperties>
</file>