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5276"/>
          <w:sz w:val="36"/>
        </w:rPr>
        <w:t>Электронный учебный кабинет: Безопасность веб-приложений</w:t>
      </w:r>
    </w:p>
    <w:p>
      <w:pPr>
        <w:jc w:val="center"/>
      </w:pPr>
      <w:r>
        <w:rPr>
          <w:rFonts w:ascii="Times New Roman" w:hAnsi="Times New Roman"/>
          <w:i/>
          <w:sz w:val="26"/>
        </w:rPr>
        <w:t>Тема 2. Лекция 3: Регламент развёртывания, резервного копирования и мониторинга</w:t>
      </w:r>
    </w:p>
    <w:p/>
    <w:p>
      <w:r>
        <w:rPr>
          <w:rFonts w:ascii="Times New Roman" w:hAnsi="Times New Roman"/>
          <w:b/>
          <w:color w:val="283747"/>
          <w:sz w:val="28"/>
        </w:rPr>
        <w:t>1. Процедура внедрения на компьютер преподавателя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Приложение публикуется в конфигурации Release, запускается на встроенном веб-сервере Kestrel.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Сетевой экран настраивается на разрешение соединений внутри аудиторной локальной сети. База данных PostgreSQL изолируется на локальном порту 127.0.0.1:5432.</w:t>
      </w:r>
    </w:p>
    <w:p>
      <w:r>
        <w:rPr>
          <w:rFonts w:ascii="Times New Roman" w:hAnsi="Times New Roman"/>
          <w:b/>
          <w:color w:val="283747"/>
          <w:sz w:val="28"/>
        </w:rPr>
        <w:t>2. Регламент резервного копирования базы данных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Резервное копирование выполняется с помощью штатной утилиты pg_dump. Периодичность — ежедневно в конце учебного дня.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Созданные дампы сохраняются в двух раздельных физических хранилищах (локальный диск и внешний накопитель).</w:t>
      </w:r>
    </w:p>
    <w:p>
      <w:r>
        <w:rPr>
          <w:rFonts w:ascii="Times New Roman" w:hAnsi="Times New Roman"/>
          <w:b/>
          <w:color w:val="283747"/>
          <w:sz w:val="28"/>
        </w:rPr>
        <w:t>3. Мониторинг и журнал аудита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Все ключевые операции (авторизация, ручное открытие лекций преподавателем, сброс попыток) регистрируются в таблице AuditLogs для контроля за учебным процессом.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