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71633"/>
        </w:rPr>
        <w:t>Экономика проекта и юнит-экономика</w:t>
      </w:r>
    </w:p>
    <w:p>
      <w:pPr/>
      <w:r>
        <w:t>Evo-ai · ООО «Эволюшн Эй Ай» · владелец Артём Северин · внутренний стандарт</w:t>
      </w:r>
    </w:p>
    <w:p>
      <w:pPr/>
      <w:r>
        <w:rPr>
          <w:color w:val="808080"/>
          <w:sz w:val="18"/>
        </w:rPr>
        <w:t>Документ ПС-01 · Редакция 1 · Утверждён 2025 · Пересмотр — ежегодно</w:t>
      </w:r>
    </w:p>
    <w:p/>
    <w:p>
      <w:pPr>
        <w:pStyle w:val="Heading1"/>
      </w:pPr>
      <w:r>
        <w:rPr>
          <w:color w:val="171633"/>
        </w:rPr>
        <w:t>1. Назначение</w:t>
      </w:r>
    </w:p>
    <w:p>
      <w:pPr/>
      <w:r>
        <w:t>Документ задаёт единый способ считать экономику проекта внедрения ИИ-решения: как мы оцениваем проект на входе, как считаем его себестоимость и маржу, как меряем юнит-экономику эксплуатации после запуска. Цель — брать в работу проекты, которые приносят результат заказчику и остаются прибыльными для Evo-ai. Числа в этом документе — целевые ориентиры; отклонения разбираются по ПС-02.</w:t>
      </w:r>
    </w:p>
    <w:p>
      <w:pPr>
        <w:pStyle w:val="Heading1"/>
      </w:pPr>
      <w:r>
        <w:rPr>
          <w:color w:val="171633"/>
        </w:rPr>
        <w:t>2. Модель выручки</w:t>
      </w:r>
    </w:p>
    <w:p>
      <w:pPr/>
      <w:r>
        <w:t>Выручку проекта мы получаем в одной из двух моделей, а после запуска — ежемесячным платежом за поддержку.</w:t>
      </w:r>
    </w:p>
    <w:p>
      <w:pPr>
        <w:pStyle w:val="ListBullet"/>
      </w:pPr>
      <w:r>
        <w:t>Fixed Price — фиксированная стоимость по договору за согласованный объём работ.</w:t>
      </w:r>
    </w:p>
    <w:p>
      <w:pPr>
        <w:pStyle w:val="ListBullet"/>
      </w:pPr>
      <w:r>
        <w:t>Time &amp; Material (T&amp;M) — оплата по фактически отработанным часам, умноженным на биллинговую ставку из ПС-03.</w:t>
      </w:r>
    </w:p>
    <w:p>
      <w:pPr>
        <w:pStyle w:val="ListBullet"/>
      </w:pPr>
      <w:r>
        <w:t>Поддержка после запуска — ежемесячный платёж по SLA (отдельное соглашение). Это самостоятельный источник выручки, считается отдельно от проекта.</w:t>
      </w:r>
    </w:p>
    <w:p>
      <w:pPr>
        <w:pStyle w:val="Heading1"/>
      </w:pPr>
      <w:r>
        <w:rPr>
          <w:color w:val="171633"/>
        </w:rPr>
        <w:t>3. Структура себестоимости проекта</w:t>
      </w:r>
    </w:p>
    <w:p>
      <w:pPr/>
      <w:r>
        <w:t>Прямая себестоимость проекта складывается из четырёх статей:</w:t>
      </w:r>
    </w:p>
    <w:p>
      <w:pPr>
        <w:pStyle w:val="ListBullet"/>
      </w:pPr>
      <w:r>
        <w:t>ФОТ команды — отработанные часы × внутренняя ставка специалиста (ПС-03).</w:t>
      </w:r>
    </w:p>
    <w:p>
      <w:pPr>
        <w:pStyle w:val="ListBullet"/>
      </w:pPr>
      <w:r>
        <w:t>Инфраструктура и инференс — стоимость LLM API, облака, vector DB, инструментов разработки и тестирования.</w:t>
      </w:r>
    </w:p>
    <w:p>
      <w:pPr>
        <w:pStyle w:val="ListBullet"/>
      </w:pPr>
      <w:r>
        <w:t>Субподряд — внешние подрядчики (например, разметка базы знаний). Наценка на субподряд — см. ПС-03.</w:t>
      </w:r>
    </w:p>
    <w:p>
      <w:pPr>
        <w:pStyle w:val="ListBullet"/>
      </w:pPr>
      <w:r>
        <w:t>Данные — сбор, чистка и подготовка базы знаний под RAG.</w:t>
      </w:r>
    </w:p>
    <w:p>
      <w:pPr/>
      <w:r>
        <w:t>Себестоимость проекта = ФОТ команды (часы × внутренняя ставка) + инфраструктура и инференс + субподряд + данные.</w:t>
      </w:r>
    </w:p>
    <w:p>
      <w:pPr>
        <w:pStyle w:val="Heading1"/>
      </w:pPr>
      <w:r>
        <w:rPr>
          <w:color w:val="171633"/>
        </w:rPr>
        <w:t>4. Валовая маржа проекта</w:t>
      </w:r>
    </w:p>
    <w:p>
      <w:pPr/>
      <w:r>
        <w:t>Валовая маржа проекта = (Выручка − Прямая себестоимость) / Выручка. Это ключевой показатель здоровья проекта на этапе разработки и внедрения.</w:t>
      </w:r>
    </w:p>
    <w:p>
      <w:pPr>
        <w:pStyle w:val="ListBullet"/>
      </w:pPr>
      <w:r>
        <w:t>Целевая валовая маржа проекта — не ниже 45% выручки.</w:t>
      </w:r>
    </w:p>
    <w:p>
      <w:pPr/>
      <w:r>
        <w:t>Маржа ниже целевой — сигнал пересмотреть состав команды, объём субподряда или цену; порядок реакции задаёт ПС-02.</w:t>
      </w:r>
    </w:p>
    <w:p>
      <w:pPr>
        <w:pStyle w:val="Heading1"/>
      </w:pPr>
      <w:r>
        <w:rPr>
          <w:color w:val="171633"/>
        </w:rPr>
        <w:t>5. Проектная EBITDA</w:t>
      </w:r>
    </w:p>
    <w:p>
      <w:pPr/>
      <w:r>
        <w:t>Проектная EBITDA считается после аллокации накладных расходов (overhead) на проект — управление, продажи, общие сервисы компании.</w:t>
      </w:r>
    </w:p>
    <w:p>
      <w:pPr>
        <w:pStyle w:val="ListBullet"/>
      </w:pPr>
      <w:r>
        <w:t>Целевая проектная EBITDA — не ниже 20% выручки.</w:t>
      </w:r>
    </w:p>
    <w:p>
      <w:pPr>
        <w:pStyle w:val="Heading1"/>
      </w:pPr>
      <w:r>
        <w:rPr>
          <w:color w:val="171633"/>
        </w:rPr>
        <w:t>6. Юнит-экономика эксплуатации</w:t>
      </w:r>
    </w:p>
    <w:p>
      <w:pPr/>
      <w:r>
        <w:t>После запуска в прод мы меряем стоимость одного обращения к ассистенту — это сумма расходов на инференс и инфраструктуру в пересчёте на один запрос. Этот показатель определяет, остаётся ли поддержка прибыльной при росте трафика.</w:t>
      </w:r>
    </w:p>
    <w:p>
      <w:pPr>
        <w:pStyle w:val="ListBullet"/>
      </w:pPr>
      <w:r>
        <w:t>Целевая стоимость одного обращения — не выше 6 ₽ за обращение.</w:t>
      </w:r>
    </w:p>
    <w:p>
      <w:pPr>
        <w:pStyle w:val="ListBullet"/>
      </w:pPr>
      <w:r>
        <w:t>Стоимость одного обращения — не выше 25% от unit-выручки поддержки (SLA-платёж в пересчёте на одно обращение).</w:t>
      </w:r>
    </w:p>
    <w:p>
      <w:pPr>
        <w:pStyle w:val="Heading1"/>
      </w:pPr>
      <w:r>
        <w:rPr>
          <w:color w:val="171633"/>
        </w:rPr>
        <w:t>7. Кривая раскачки</w:t>
      </w:r>
    </w:p>
    <w:p>
      <w:pPr/>
      <w:r>
        <w:t>При планировании экономики проекта обязательно учитывать кривую раскачки: в первый месяц утилизация команды низкая (discovery, погружение, подготовка данных), поэтому себестоимость на единицу результата выше. Маржу и EBITDA оценивать по проекту в целом, а не по первому месяцу.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