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1633"/>
        </w:rPr>
        <w:t>Бюджетные нормативы проекта</w:t>
      </w:r>
    </w:p>
    <w:p>
      <w:pPr/>
      <w:r>
        <w:t>Evo-ai · ООО «Эволюшн Эй Ай» · владелец Артём Северин · внутренний стандарт</w:t>
      </w:r>
    </w:p>
    <w:p>
      <w:pPr/>
      <w:r>
        <w:rPr>
          <w:color w:val="808080"/>
          <w:sz w:val="18"/>
        </w:rPr>
        <w:t>Документ ПС-02 · Редакция 1 · Утверждён 2025 · Пересмотр — ежегодно</w:t>
      </w:r>
    </w:p>
    <w:p/>
    <w:p>
      <w:pPr>
        <w:pStyle w:val="Heading1"/>
      </w:pPr>
      <w:r>
        <w:rPr>
          <w:color w:val="171633"/>
        </w:rPr>
        <w:t>1. Назначение</w:t>
      </w:r>
    </w:p>
    <w:p>
      <w:pPr/>
      <w:r>
        <w:t>Документ задаёт предельные доли статей затрат в выручке проекта и требования к ликвидности. Нормативы используются при оценке нового проекта (ПС-04) и при контроле бюджета в ходе работ. Отклонение факта от норматива более чем на 5 процентных пунктов разбирается отдельно — с выяснением причины и решением, продолжать ли проект на текущих условиях.</w:t>
      </w:r>
    </w:p>
    <w:p>
      <w:pPr>
        <w:pStyle w:val="Heading1"/>
      </w:pPr>
      <w:r>
        <w:rPr>
          <w:color w:val="171633"/>
        </w:rPr>
        <w:t>2. Доли в выручке проекта</w:t>
      </w:r>
    </w:p>
    <w:p>
      <w:pPr/>
      <w:r>
        <w:t>Предельные доли статей затрат и целевые показатели рентабельности в пересчёте на выручку проекта: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Норматив</w:t>
            </w:r>
          </w:p>
        </w:tc>
      </w:tr>
      <w:tr>
        <w:tc>
          <w:tcPr>
            <w:tcW w:type="dxa" w:w="4320"/>
          </w:tcPr>
          <w:p>
            <w:r>
              <w:t>ФОТ команды (с налогами)</w:t>
            </w:r>
          </w:p>
        </w:tc>
        <w:tc>
          <w:tcPr>
            <w:tcW w:type="dxa" w:w="4320"/>
          </w:tcPr>
          <w:p>
            <w:r>
              <w:t>≤ 55% выручки (стоп-фактор при &gt; 65%)</w:t>
            </w:r>
          </w:p>
        </w:tc>
      </w:tr>
      <w:tr>
        <w:tc>
          <w:tcPr>
            <w:tcW w:type="dxa" w:w="4320"/>
          </w:tcPr>
          <w:p>
            <w:r>
              <w:t>Инфраструктура / инференс</w:t>
            </w:r>
          </w:p>
        </w:tc>
        <w:tc>
          <w:tcPr>
            <w:tcW w:type="dxa" w:w="4320"/>
          </w:tcPr>
          <w:p>
            <w:r>
              <w:t>≤ 12% выручки</w:t>
            </w:r>
          </w:p>
        </w:tc>
      </w:tr>
      <w:tr>
        <w:tc>
          <w:tcPr>
            <w:tcW w:type="dxa" w:w="4320"/>
          </w:tcPr>
          <w:p>
            <w:r>
              <w:t>Субподряд</w:t>
            </w:r>
          </w:p>
        </w:tc>
        <w:tc>
          <w:tcPr>
            <w:tcW w:type="dxa" w:w="4320"/>
          </w:tcPr>
          <w:p>
            <w:r>
              <w:t>≤ 15% выручки</w:t>
            </w:r>
          </w:p>
        </w:tc>
      </w:tr>
      <w:tr>
        <w:tc>
          <w:tcPr>
            <w:tcW w:type="dxa" w:w="4320"/>
          </w:tcPr>
          <w:p>
            <w:r>
              <w:t>Резерв на риск</w:t>
            </w:r>
          </w:p>
        </w:tc>
        <w:tc>
          <w:tcPr>
            <w:tcW w:type="dxa" w:w="4320"/>
          </w:tcPr>
          <w:p>
            <w:r>
              <w:t>10% бюджета</w:t>
            </w:r>
          </w:p>
        </w:tc>
      </w:tr>
      <w:tr>
        <w:tc>
          <w:tcPr>
            <w:tcW w:type="dxa" w:w="4320"/>
          </w:tcPr>
          <w:p>
            <w:r>
              <w:t>Целевая валовая маржа</w:t>
            </w:r>
          </w:p>
        </w:tc>
        <w:tc>
          <w:tcPr>
            <w:tcW w:type="dxa" w:w="4320"/>
          </w:tcPr>
          <w:p>
            <w:r>
              <w:t>≥ 45% выручки</w:t>
            </w:r>
          </w:p>
        </w:tc>
      </w:tr>
      <w:tr>
        <w:tc>
          <w:tcPr>
            <w:tcW w:type="dxa" w:w="4320"/>
          </w:tcPr>
          <w:p>
            <w:r>
              <w:t>Целевая проектная EBITDA</w:t>
            </w:r>
          </w:p>
        </w:tc>
        <w:tc>
          <w:tcPr>
            <w:tcW w:type="dxa" w:w="4320"/>
          </w:tcPr>
          <w:p>
            <w:r>
              <w:t>≥ 20% выручки</w:t>
            </w:r>
          </w:p>
        </w:tc>
      </w:tr>
    </w:tbl>
    <w:p>
      <w:pPr>
        <w:pStyle w:val="Heading1"/>
      </w:pPr>
      <w:r>
        <w:rPr>
          <w:color w:val="171633"/>
        </w:rPr>
        <w:t>3. Инвестиции и ликвидность</w:t>
      </w:r>
    </w:p>
    <w:p>
      <w:pPr/>
      <w:r>
        <w:t>Требования к структуре финансирования проекта и к кассовой устойчивости Evo-ai на время работ: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Норматив</w:t>
            </w:r>
          </w:p>
        </w:tc>
      </w:tr>
      <w:tr>
        <w:tc>
          <w:tcPr>
            <w:tcW w:type="dxa" w:w="4320"/>
          </w:tcPr>
          <w:p>
            <w:r>
              <w:t>Предоплата заказчика на старте</w:t>
            </w:r>
          </w:p>
        </w:tc>
        <w:tc>
          <w:tcPr>
            <w:tcW w:type="dxa" w:w="4320"/>
          </w:tcPr>
          <w:p>
            <w:r>
              <w:t>≥ 30% стоимости (стоп при 0%)</w:t>
            </w:r>
          </w:p>
        </w:tc>
      </w:tr>
      <w:tr>
        <w:tc>
          <w:tcPr>
            <w:tcW w:type="dxa" w:w="4320"/>
          </w:tcPr>
          <w:p>
            <w:r>
              <w:t>Буфер кассового разрыва</w:t>
            </w:r>
          </w:p>
        </w:tc>
        <w:tc>
          <w:tcPr>
            <w:tcW w:type="dxa" w:w="4320"/>
          </w:tcPr>
          <w:p>
            <w:r>
              <w:t>≥ 2 месяца ФОТ команды</w:t>
            </w:r>
          </w:p>
        </w:tc>
      </w:tr>
      <w:tr>
        <w:tc>
          <w:tcPr>
            <w:tcW w:type="dxa" w:w="4320"/>
          </w:tcPr>
          <w:p>
            <w:r>
              <w:t>Максимальный бюджет проекта без эскалации</w:t>
            </w:r>
          </w:p>
        </w:tc>
        <w:tc>
          <w:tcPr>
            <w:tcW w:type="dxa" w:w="4320"/>
          </w:tcPr>
          <w:p>
            <w:r>
              <w:t>≤ 8 000 000 ₽</w:t>
            </w:r>
          </w:p>
        </w:tc>
      </w:tr>
      <w:tr>
        <w:tc>
          <w:tcPr>
            <w:tcW w:type="dxa" w:w="4320"/>
          </w:tcPr>
          <w:p>
            <w:r>
              <w:t>Окупаемость инвестиций в R&amp;D-акселераторы</w:t>
            </w:r>
          </w:p>
        </w:tc>
        <w:tc>
          <w:tcPr>
            <w:tcW w:type="dxa" w:w="4320"/>
          </w:tcPr>
          <w:p>
            <w:r>
              <w:t>≤ 18 месяцев</w:t>
            </w:r>
          </w:p>
        </w:tc>
      </w:tr>
    </w:tbl>
    <w:p>
      <w:pPr>
        <w:pStyle w:val="Heading1"/>
      </w:pPr>
      <w:r>
        <w:rPr>
          <w:color w:val="171633"/>
        </w:rPr>
        <w:t>4. Налоговый режим</w:t>
      </w:r>
    </w:p>
    <w:p>
      <w:pPr/>
      <w:r>
        <w:t>Evo-ai — ООО на УСН «доходы минус расходы» 15%, IT-аккредитованная компания (пониженные страховые взносы). Налоговую нагрузку и применимость льгот по конкретному проекту сверять у бухгалтера — [сверить у бухгалтера].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