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71633"/>
        </w:rPr>
        <w:t>Регламент ставок и ценообразования</w:t>
      </w:r>
    </w:p>
    <w:p>
      <w:pPr/>
      <w:r>
        <w:t>Evo-ai · ООО «Эволюшн Эй Ай» · владелец Артём Северин · внутренний стандарт</w:t>
      </w:r>
    </w:p>
    <w:p>
      <w:pPr/>
      <w:r>
        <w:rPr>
          <w:color w:val="808080"/>
          <w:sz w:val="18"/>
        </w:rPr>
        <w:t>Документ ПС-03 · Редакция 1 · Утверждён 2025 · Пересмотр — ежегодно</w:t>
      </w:r>
    </w:p>
    <w:p/>
    <w:p>
      <w:pPr>
        <w:pStyle w:val="Heading1"/>
      </w:pPr>
      <w:r>
        <w:rPr>
          <w:color w:val="171633"/>
        </w:rPr>
        <w:t>1. Назначение</w:t>
      </w:r>
    </w:p>
    <w:p>
      <w:pPr/>
      <w:r>
        <w:t>Документ задаёт единую rate-card специалистов и правила формирования цены проекта. Внутренняя ставка используется для расчёта себестоимости (ПС-01), биллинговая — для выставления цены заказчику в модели T&amp;M и для оценки Fixed Price.</w:t>
      </w:r>
    </w:p>
    <w:p>
      <w:pPr>
        <w:pStyle w:val="Heading1"/>
      </w:pPr>
      <w:r>
        <w:rPr>
          <w:color w:val="171633"/>
        </w:rPr>
        <w:t>2. Rate-card (₽ за час)</w:t>
      </w:r>
    </w:p>
    <w:p>
      <w:pPr/>
      <w:r>
        <w:t>Ставки по грейдам — внутренняя (себестоимость) и биллинговая (для заказчика):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Грейд / роль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Внутренняя, ₽/ч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Биллинговая, ₽/ч</w:t>
            </w:r>
          </w:p>
        </w:tc>
      </w:tr>
      <w:tr>
        <w:tc>
          <w:tcPr>
            <w:tcW w:type="dxa" w:w="2880"/>
          </w:tcPr>
          <w:p>
            <w:r>
              <w:t>Senior ML/LLM-инженер</w:t>
            </w:r>
          </w:p>
        </w:tc>
        <w:tc>
          <w:tcPr>
            <w:tcW w:type="dxa" w:w="2880"/>
          </w:tcPr>
          <w:p>
            <w:r>
              <w:t>2 800</w:t>
            </w:r>
          </w:p>
        </w:tc>
        <w:tc>
          <w:tcPr>
            <w:tcW w:type="dxa" w:w="2880"/>
          </w:tcPr>
          <w:p>
            <w:r>
              <w:t>5 500</w:t>
            </w:r>
          </w:p>
        </w:tc>
      </w:tr>
      <w:tr>
        <w:tc>
          <w:tcPr>
            <w:tcW w:type="dxa" w:w="2880"/>
          </w:tcPr>
          <w:p>
            <w:r>
              <w:t>Middle разработчик</w:t>
            </w:r>
          </w:p>
        </w:tc>
        <w:tc>
          <w:tcPr>
            <w:tcW w:type="dxa" w:w="2880"/>
          </w:tcPr>
          <w:p>
            <w:r>
              <w:t>2 000</w:t>
            </w:r>
          </w:p>
        </w:tc>
        <w:tc>
          <w:tcPr>
            <w:tcW w:type="dxa" w:w="2880"/>
          </w:tcPr>
          <w:p>
            <w:r>
              <w:t>4 000</w:t>
            </w:r>
          </w:p>
        </w:tc>
      </w:tr>
      <w:tr>
        <w:tc>
          <w:tcPr>
            <w:tcW w:type="dxa" w:w="2880"/>
          </w:tcPr>
          <w:p>
            <w:r>
              <w:t>Junior</w:t>
            </w:r>
          </w:p>
        </w:tc>
        <w:tc>
          <w:tcPr>
            <w:tcW w:type="dxa" w:w="2880"/>
          </w:tcPr>
          <w:p>
            <w:r>
              <w:t>1 200</w:t>
            </w:r>
          </w:p>
        </w:tc>
        <w:tc>
          <w:tcPr>
            <w:tcW w:type="dxa" w:w="2880"/>
          </w:tcPr>
          <w:p>
            <w:r>
              <w:t>2 500</w:t>
            </w:r>
          </w:p>
        </w:tc>
      </w:tr>
      <w:tr>
        <w:tc>
          <w:tcPr>
            <w:tcW w:type="dxa" w:w="2880"/>
          </w:tcPr>
          <w:p>
            <w:r>
              <w:t>PM</w:t>
            </w:r>
          </w:p>
        </w:tc>
        <w:tc>
          <w:tcPr>
            <w:tcW w:type="dxa" w:w="2880"/>
          </w:tcPr>
          <w:p>
            <w:r>
              <w:t>2 400</w:t>
            </w:r>
          </w:p>
        </w:tc>
        <w:tc>
          <w:tcPr>
            <w:tcW w:type="dxa" w:w="2880"/>
          </w:tcPr>
          <w:p>
            <w:r>
              <w:t>4 500</w:t>
            </w:r>
          </w:p>
        </w:tc>
      </w:tr>
      <w:tr>
        <w:tc>
          <w:tcPr>
            <w:tcW w:type="dxa" w:w="2880"/>
          </w:tcPr>
          <w:p>
            <w:r>
              <w:t>QA</w:t>
            </w:r>
          </w:p>
        </w:tc>
        <w:tc>
          <w:tcPr>
            <w:tcW w:type="dxa" w:w="2880"/>
          </w:tcPr>
          <w:p>
            <w:r>
              <w:t>1 600</w:t>
            </w:r>
          </w:p>
        </w:tc>
        <w:tc>
          <w:tcPr>
            <w:tcW w:type="dxa" w:w="2880"/>
          </w:tcPr>
          <w:p>
            <w:r>
              <w:t>3 200</w:t>
            </w:r>
          </w:p>
        </w:tc>
      </w:tr>
    </w:tbl>
    <w:p>
      <w:pPr>
        <w:pStyle w:val="Heading1"/>
      </w:pPr>
      <w:r>
        <w:rPr>
          <w:color w:val="171633"/>
        </w:rPr>
        <w:t>3. Субподряд</w:t>
      </w:r>
    </w:p>
    <w:p>
      <w:pPr/>
      <w:r>
        <w:t>Работы внешних подрядчиков перевыставляются заказчику с наценкой +20% к стоимости подрядчика. Наценка покрывает управление подрядчиком, контроль качества и риск.</w:t>
      </w:r>
    </w:p>
    <w:p>
      <w:pPr>
        <w:pStyle w:val="Heading1"/>
      </w:pPr>
      <w:r>
        <w:rPr>
          <w:color w:val="171633"/>
        </w:rPr>
        <w:t>4. Расчёт Fixed Price</w:t>
      </w:r>
    </w:p>
    <w:p>
      <w:pPr/>
      <w:r>
        <w:t>Цена проекта в модели Fixed Price считается так:</w:t>
      </w:r>
    </w:p>
    <w:p>
      <w:pPr>
        <w:pStyle w:val="ListBullet"/>
      </w:pPr>
      <w:r>
        <w:t>Fixed Price = оценка трудозатрат × биллинговая ставка × (1 + резерв 15%).</w:t>
      </w:r>
    </w:p>
    <w:p>
      <w:pPr/>
      <w:r>
        <w:t>Резерв 15% закладывается на неопределённость оценки и непредвиденные доработки в рамках согласованного объёма.</w:t>
      </w:r>
    </w:p>
    <w:p>
      <w:pPr>
        <w:pStyle w:val="Heading1"/>
      </w:pPr>
      <w:r>
        <w:rPr>
          <w:color w:val="171633"/>
        </w:rPr>
        <w:t>5. Пересмотр ставок</w:t>
      </w:r>
    </w:p>
    <w:p>
      <w:pPr>
        <w:pStyle w:val="ListBullet"/>
      </w:pPr>
      <w:r>
        <w:t>Плановый пересмотр rate-card — раз в год.</w:t>
      </w:r>
    </w:p>
    <w:p>
      <w:pPr>
        <w:pStyle w:val="ListBullet"/>
      </w:pPr>
      <w:r>
        <w:t>Внеплановый пересмотр — при росте затрат более чем на 7%.</w:t>
      </w:r>
    </w:p>
    <w:p>
      <w:pPr>
        <w:pStyle w:val="Heading1"/>
      </w:pPr>
      <w:r>
        <w:rPr>
          <w:color w:val="171633"/>
        </w:rPr>
        <w:t>6. Скидки</w:t>
      </w:r>
    </w:p>
    <w:p>
      <w:pPr>
        <w:pStyle w:val="ListBullet"/>
      </w:pPr>
      <w:r>
        <w:t>Скидка не должна опускать валовую маржу проекта ниже 45% (ПС-01).</w:t>
      </w:r>
    </w:p>
    <w:p>
      <w:pPr>
        <w:pStyle w:val="ListBullet"/>
      </w:pPr>
      <w:r>
        <w:t>Скидка более 10% — только с одобрения.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