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Чек-лист оценки нового проекта</w:t>
      </w:r>
    </w:p>
    <w:p>
      <w:pPr/>
      <w:r>
        <w:t>Evo-ai · ООО «Эволюшн Эй Ай» · владелец Артём Северин · внутренний стандарт</w:t>
      </w:r>
    </w:p>
    <w:p>
      <w:pPr/>
      <w:r>
        <w:rPr>
          <w:color w:val="808080"/>
          <w:sz w:val="18"/>
        </w:rPr>
        <w:t>Документ ПС-04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pPr/>
      <w:r>
        <w:t>Документ задаёт единый чек-лист принятия решения по новому проекту: go (берём) / условно (берём после доработки условий) / no-go (отказываемся). Чек-лист сводит вместе экономику (ПС-01), бюджетные нормативы (ПС-02), ставки (ПС-03) и юридические риски договора.</w:t>
      </w:r>
    </w:p>
    <w:p>
      <w:pPr>
        <w:pStyle w:val="Heading1"/>
      </w:pPr>
      <w:r>
        <w:rPr>
          <w:color w:val="171633"/>
        </w:rPr>
        <w:t>2. Критерии оценки</w:t>
      </w:r>
    </w:p>
    <w:p>
      <w:pPr/>
      <w:r>
        <w:t>Каждый критерий проверяется по порогу; при срабатывании стоп-фактора проект не берётся как есть — либо дорабатываются условия, либо отказ: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Критерий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Порог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Стоп-фактор</w:t>
            </w:r>
          </w:p>
        </w:tc>
      </w:tr>
      <w:tr>
        <w:tc>
          <w:tcPr>
            <w:tcW w:type="dxa" w:w="2880"/>
          </w:tcPr>
          <w:p>
            <w:r>
              <w:t>Валовая маржа</w:t>
            </w:r>
          </w:p>
        </w:tc>
        <w:tc>
          <w:tcPr>
            <w:tcW w:type="dxa" w:w="2880"/>
          </w:tcPr>
          <w:p>
            <w:r>
              <w:t>≥ 45%</w:t>
            </w:r>
          </w:p>
        </w:tc>
        <w:tc>
          <w:tcPr>
            <w:tcW w:type="dxa" w:w="2880"/>
          </w:tcPr>
          <w:p>
            <w:r>
              <w:t>стоп &lt; 35%</w:t>
            </w:r>
          </w:p>
        </w:tc>
      </w:tr>
      <w:tr>
        <w:tc>
          <w:tcPr>
            <w:tcW w:type="dxa" w:w="2880"/>
          </w:tcPr>
          <w:p>
            <w:r>
              <w:t>Предоплата заказчика</w:t>
            </w:r>
          </w:p>
        </w:tc>
        <w:tc>
          <w:tcPr>
            <w:tcW w:type="dxa" w:w="2880"/>
          </w:tcPr>
          <w:p>
            <w:r>
              <w:t>≥ 30%</w:t>
            </w:r>
          </w:p>
        </w:tc>
        <w:tc>
          <w:tcPr>
            <w:tcW w:type="dxa" w:w="2880"/>
          </w:tcPr>
          <w:p>
            <w:r>
              <w:t>стоп 0%</w:t>
            </w:r>
          </w:p>
        </w:tc>
      </w:tr>
      <w:tr>
        <w:tc>
          <w:tcPr>
            <w:tcW w:type="dxa" w:w="2880"/>
          </w:tcPr>
          <w:p>
            <w:r>
              <w:t>Бюджет проекта</w:t>
            </w:r>
          </w:p>
        </w:tc>
        <w:tc>
          <w:tcPr>
            <w:tcW w:type="dxa" w:w="2880"/>
          </w:tcPr>
          <w:p>
            <w:r>
              <w:t>≤ 8 000 000 ₽</w:t>
            </w:r>
          </w:p>
        </w:tc>
        <w:tc>
          <w:tcPr>
            <w:tcW w:type="dxa" w:w="2880"/>
          </w:tcPr>
          <w:p>
            <w:r>
              <w:t>стоп: &gt; без эскалации</w:t>
            </w:r>
          </w:p>
        </w:tc>
      </w:tr>
      <w:tr>
        <w:tc>
          <w:tcPr>
            <w:tcW w:type="dxa" w:w="2880"/>
          </w:tcPr>
          <w:p>
            <w:r>
              <w:t>Чёткое ТЗ и метрики успеха</w:t>
            </w:r>
          </w:p>
        </w:tc>
        <w:tc>
          <w:tcPr>
            <w:tcW w:type="dxa" w:w="2880"/>
          </w:tcPr>
          <w:p>
            <w:r>
              <w:t>есть</w:t>
            </w:r>
          </w:p>
        </w:tc>
        <w:tc>
          <w:tcPr>
            <w:tcW w:type="dxa" w:w="2880"/>
          </w:tcPr>
          <w:p>
            <w:r>
              <w:t>стоп: Fixed Price без ТЗ</w:t>
            </w:r>
          </w:p>
        </w:tc>
      </w:tr>
      <w:tr>
        <w:tc>
          <w:tcPr>
            <w:tcW w:type="dxa" w:w="2880"/>
          </w:tcPr>
          <w:p>
            <w:r>
              <w:t>Владелец / ЛПР на стороне заказчика</w:t>
            </w:r>
          </w:p>
        </w:tc>
        <w:tc>
          <w:tcPr>
            <w:tcW w:type="dxa" w:w="2880"/>
          </w:tcPr>
          <w:p>
            <w:r>
              <w:t>есть</w:t>
            </w:r>
          </w:p>
        </w:tc>
        <w:tc>
          <w:tcPr>
            <w:tcW w:type="dxa" w:w="2880"/>
          </w:tcPr>
          <w:p>
            <w:r>
              <w:t>стоп: нет owner</w:t>
            </w:r>
          </w:p>
        </w:tc>
      </w:tr>
      <w:tr>
        <w:tc>
          <w:tcPr>
            <w:tcW w:type="dxa" w:w="2880"/>
          </w:tcPr>
          <w:p>
            <w:r>
              <w:t>Юр-риски (ответственность, права/оплата)</w:t>
            </w:r>
          </w:p>
        </w:tc>
        <w:tc>
          <w:tcPr>
            <w:tcW w:type="dxa" w:w="2880"/>
          </w:tcPr>
          <w:p>
            <w:r>
              <w:t>в норме</w:t>
            </w:r>
          </w:p>
        </w:tc>
        <w:tc>
          <w:tcPr>
            <w:tcW w:type="dxa" w:w="2880"/>
          </w:tcPr>
          <w:p>
            <w:r>
              <w:t>стоп: неограниченная ответственность</w:t>
            </w:r>
          </w:p>
        </w:tc>
      </w:tr>
    </w:tbl>
    <w:p>
      <w:pPr>
        <w:pStyle w:val="Heading1"/>
      </w:pPr>
      <w:r>
        <w:rPr>
          <w:color w:val="171633"/>
        </w:rPr>
        <w:t>3. Порядок оценки</w:t>
      </w:r>
    </w:p>
    <w:p>
      <w:pPr>
        <w:pStyle w:val="ListBullet"/>
      </w:pPr>
      <w:r>
        <w:t>Оценить трудозатраты по проекту.</w:t>
      </w:r>
    </w:p>
    <w:p>
      <w:pPr>
        <w:pStyle w:val="ListBullet"/>
      </w:pPr>
      <w:r>
        <w:t>Прогнать оценку по нормативам ПС-02 и ставкам ПС-03.</w:t>
      </w:r>
    </w:p>
    <w:p>
      <w:pPr>
        <w:pStyle w:val="ListBullet"/>
      </w:pPr>
      <w:r>
        <w:t>Свести вывод go / условно / no-go с обоснованием по каждому критерию.</w:t>
      </w:r>
    </w:p>
    <w:p>
      <w:pPr>
        <w:pStyle w:val="Heading1"/>
      </w:pPr>
      <w:r>
        <w:rPr>
          <w:color w:val="171633"/>
        </w:rPr>
        <w:t>4. Пример применения: проект «Гермес»</w:t>
      </w:r>
    </w:p>
    <w:p>
      <w:pPr/>
      <w:r>
        <w:t>Проект внедрения ИИ-ассистента поддержки для ООО «Гермес-Логистика» прогнан по чек-листу:</w:t>
      </w:r>
    </w:p>
    <w:p>
      <w:pPr>
        <w:pStyle w:val="ListBullet"/>
      </w:pPr>
      <w:r>
        <w:t>Валовая маржа ≈ 40% — ниже целевых 45%, но выше стоп-порога 35% → «условно».</w:t>
      </w:r>
    </w:p>
    <w:p>
      <w:pPr>
        <w:pStyle w:val="ListBullet"/>
      </w:pPr>
      <w:r>
        <w:t>Предоплата заказчика 30% — норматив выполнен.</w:t>
      </w:r>
    </w:p>
    <w:p>
      <w:pPr>
        <w:pStyle w:val="ListBullet"/>
      </w:pPr>
      <w:r>
        <w:t>Бюджет проекта 3,73 млн ₽ — в пределах 8 000 000 ₽, норматив выполнен.</w:t>
      </w:r>
    </w:p>
    <w:p>
      <w:pPr>
        <w:pStyle w:val="ListBullet"/>
      </w:pPr>
      <w:r>
        <w:t>ТЗ черновое — риск, метрики успеха требуют фиксации.</w:t>
      </w:r>
    </w:p>
    <w:p>
      <w:pPr>
        <w:pStyle w:val="ListBullet"/>
      </w:pPr>
      <w:r>
        <w:t>Ответственность Исполнителя не ограничена суммой договора — стоп-флаг по юр-рискам.</w:t>
      </w:r>
    </w:p>
    <w:p>
      <w:pPr/>
      <w:r>
        <w:t>Вывод по проекту «Гермес»: условно — добить валовую маржу до целевой и ограничить ответственность в договоре, после чего брать в работу.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