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Project economics and unit economics</w:t>
      </w:r>
    </w:p>
    <w:p>
      <w:pPr/>
      <w:r>
        <w:t>Evo-ai · Evo-ai Ltd · owner Arthur Severin · internal standard</w:t>
      </w:r>
    </w:p>
    <w:p>
      <w:pPr/>
      <w:r>
        <w:rPr>
          <w:color w:val="808080"/>
          <w:sz w:val="18"/>
        </w:rPr>
        <w:t>Document PS-01 · Revision 1 · Approved 2025 · Reviewed annually</w:t>
      </w:r>
    </w:p>
    <w:p/>
    <w:p>
      <w:pPr>
        <w:pStyle w:val="Heading1"/>
      </w:pPr>
      <w:r>
        <w:rPr>
          <w:color w:val="171633"/>
        </w:rPr>
        <w:t>1. Purpose</w:t>
      </w:r>
    </w:p>
    <w:p>
      <w:pPr/>
      <w:r>
        <w:t>This document sets a single way of calculating the economics of an AI implementation project: how we assess a project up front, how we calculate its cost and margin, how we measure the unit economics of operation after launch. The goal is to take on projects that deliver a result for the client and stay profitable for Evo-ai. The numbers in this document are target benchmarks; deviations are handled under PS-02.</w:t>
      </w:r>
    </w:p>
    <w:p>
      <w:pPr>
        <w:pStyle w:val="Heading1"/>
      </w:pPr>
      <w:r>
        <w:rPr>
          <w:color w:val="171633"/>
        </w:rPr>
        <w:t>2. Revenue model</w:t>
      </w:r>
    </w:p>
    <w:p>
      <w:pPr/>
      <w:r>
        <w:t>We earn project revenue under one of two models, and after launch — through a monthly support payment.</w:t>
      </w:r>
    </w:p>
    <w:p>
      <w:pPr>
        <w:pStyle w:val="ListBullet"/>
      </w:pPr>
      <w:r>
        <w:t>Fixed Price — a fixed contract price for an agreed scope of work.</w:t>
      </w:r>
    </w:p>
    <w:p>
      <w:pPr>
        <w:pStyle w:val="ListBullet"/>
      </w:pPr>
      <w:r>
        <w:t>Time &amp; Material (T&amp;M) — payment for the hours actually worked, multiplied by the billing rate from PS-03.</w:t>
      </w:r>
    </w:p>
    <w:p>
      <w:pPr>
        <w:pStyle w:val="ListBullet"/>
      </w:pPr>
      <w:r>
        <w:t>Support after launch — a monthly SLA payment (a separate agreement). This is a revenue source in its own right and is calculated separately from the project.</w:t>
      </w:r>
    </w:p>
    <w:p>
      <w:pPr>
        <w:pStyle w:val="Heading1"/>
      </w:pPr>
      <w:r>
        <w:rPr>
          <w:color w:val="171633"/>
        </w:rPr>
        <w:t>3. Structure of the project cost</w:t>
      </w:r>
    </w:p>
    <w:p>
      <w:pPr/>
      <w:r>
        <w:t>The direct cost of a project consists of four items:</w:t>
      </w:r>
    </w:p>
    <w:p>
      <w:pPr>
        <w:pStyle w:val="ListBullet"/>
      </w:pPr>
      <w:r>
        <w:t>Team payroll — hours worked × the specialist’s internal rate (PS-03).</w:t>
      </w:r>
    </w:p>
    <w:p>
      <w:pPr>
        <w:pStyle w:val="ListBullet"/>
      </w:pPr>
      <w:r>
        <w:t>Infrastructure and inference — the cost of the LLM API, cloud, vector DB, and development and testing tools.</w:t>
      </w:r>
    </w:p>
    <w:p>
      <w:pPr>
        <w:pStyle w:val="ListBullet"/>
      </w:pPr>
      <w:r>
        <w:t>Subcontracting — external contractors (for example, knowledge-base labelling). Subcontracting markup — see PS-03.</w:t>
      </w:r>
    </w:p>
    <w:p>
      <w:pPr>
        <w:pStyle w:val="ListBullet"/>
      </w:pPr>
      <w:r>
        <w:t>Data — collecting, cleaning and preparing the knowledge base for RAG.</w:t>
      </w:r>
    </w:p>
    <w:p>
      <w:pPr/>
      <w:r>
        <w:t>Project cost = team payroll (hours × internal rate) + infrastructure and inference + subcontracting + data.</w:t>
      </w:r>
    </w:p>
    <w:p>
      <w:pPr>
        <w:pStyle w:val="Heading1"/>
      </w:pPr>
      <w:r>
        <w:rPr>
          <w:color w:val="171633"/>
        </w:rPr>
        <w:t>4. Project gross margin</w:t>
      </w:r>
    </w:p>
    <w:p>
      <w:pPr/>
      <w:r>
        <w:t>Project gross margin = (Revenue − Direct cost) / Revenue. This is the key health metric of a project at the development and rollout stage.</w:t>
      </w:r>
    </w:p>
    <w:p>
      <w:pPr>
        <w:pStyle w:val="ListBullet"/>
      </w:pPr>
      <w:r>
        <w:t>Target project gross margin — no lower than 45% of revenue.</w:t>
      </w:r>
    </w:p>
    <w:p>
      <w:pPr/>
      <w:r>
        <w:t>A margin below target is a signal to review the team composition, the amount of subcontracting or the price; the response procedure is set by PS-02.</w:t>
      </w:r>
    </w:p>
    <w:p>
      <w:pPr>
        <w:pStyle w:val="Heading1"/>
      </w:pPr>
      <w:r>
        <w:rPr>
          <w:color w:val="171633"/>
        </w:rPr>
        <w:t>5. Project EBITDA</w:t>
      </w:r>
    </w:p>
    <w:p>
      <w:pPr/>
      <w:r>
        <w:t>Project EBITDA is calculated after overhead is allocated to the project — management, sales, and the company’s shared services.</w:t>
      </w:r>
    </w:p>
    <w:p>
      <w:pPr>
        <w:pStyle w:val="ListBullet"/>
      </w:pPr>
      <w:r>
        <w:t>Target project EBITDA — no lower than 20% of revenue.</w:t>
      </w:r>
    </w:p>
    <w:p>
      <w:pPr>
        <w:pStyle w:val="Heading1"/>
      </w:pPr>
      <w:r>
        <w:rPr>
          <w:color w:val="171633"/>
        </w:rPr>
        <w:t>6. Unit economics of operation</w:t>
      </w:r>
    </w:p>
    <w:p>
      <w:pPr/>
      <w:r>
        <w:t>After go-live we measure the cost of a single request to the assistant — the sum of inference and infrastructure costs per request. This metric determines whether support stays profitable as traffic grows.</w:t>
      </w:r>
    </w:p>
    <w:p>
      <w:pPr>
        <w:pStyle w:val="ListBullet"/>
      </w:pPr>
      <w:r>
        <w:t>Target cost per request — no higher than $0.07 per request.</w:t>
      </w:r>
    </w:p>
    <w:p>
      <w:pPr>
        <w:pStyle w:val="ListBullet"/>
      </w:pPr>
      <w:r>
        <w:t>Cost per request — no higher than 25% of support unit revenue (the SLA payment per request).</w:t>
      </w:r>
    </w:p>
    <w:p>
      <w:pPr>
        <w:pStyle w:val="Heading1"/>
      </w:pPr>
      <w:r>
        <w:rPr>
          <w:color w:val="171633"/>
        </w:rPr>
        <w:t>7. Ramp-up curve</w:t>
      </w:r>
    </w:p>
    <w:p>
      <w:pPr/>
      <w:r>
        <w:t>When planning project economics, the ramp-up curve must be taken into account: in the first month team utilisation is low (discovery, onboarding, data preparation), so the cost per unit of result is higher. Assess margin and EBITDA across the project as a whole, not by the first month.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PS-01 Project economics and unit economics</dc:title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