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Project budget norms</w:t>
      </w:r>
    </w:p>
    <w:p>
      <w:pPr/>
      <w:r>
        <w:t>Evo-ai · Evo-ai Ltd · owner Arthur Severin · internal standard</w:t>
      </w:r>
    </w:p>
    <w:p>
      <w:pPr/>
      <w:r>
        <w:rPr>
          <w:color w:val="808080"/>
          <w:sz w:val="18"/>
        </w:rPr>
        <w:t>Document PS-02 · Revision 1 · Approved 2025 · Reviewed annually</w:t>
      </w:r>
    </w:p>
    <w:p/>
    <w:p>
      <w:pPr>
        <w:pStyle w:val="Heading1"/>
      </w:pPr>
      <w:r>
        <w:rPr>
          <w:color w:val="171633"/>
        </w:rPr>
        <w:t>1. Purpose</w:t>
      </w:r>
    </w:p>
    <w:p>
      <w:pPr/>
      <w:r>
        <w:t>This document sets the maximum shares of cost items in project revenue and the liquidity requirements. The norms are used when assessing a new project (PS-04) and when controlling the budget during the work. A deviation of the actuals from the norm by more than 5 percentage points is reviewed separately — establishing the cause and deciding whether to continue the project on the current terms.</w:t>
      </w:r>
    </w:p>
    <w:p>
      <w:pPr>
        <w:pStyle w:val="Heading1"/>
      </w:pPr>
      <w:r>
        <w:rPr>
          <w:color w:val="171633"/>
        </w:rPr>
        <w:t>2. Shares of project revenue</w:t>
      </w:r>
    </w:p>
    <w:p>
      <w:pPr/>
      <w:r>
        <w:t>Maximum shares of cost items and target profitability metrics as a share of project revenue: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Norm</w:t>
            </w:r>
          </w:p>
        </w:tc>
      </w:tr>
      <w:tr>
        <w:tc>
          <w:tcPr>
            <w:tcW w:type="dxa" w:w="4320"/>
          </w:tcPr>
          <w:p>
            <w:r>
              <w:t>Team payroll (with taxes)</w:t>
            </w:r>
          </w:p>
        </w:tc>
        <w:tc>
          <w:tcPr>
            <w:tcW w:type="dxa" w:w="4320"/>
          </w:tcPr>
          <w:p>
            <w:r>
              <w:t>≤ 55% of revenue (stop factor at &gt; 65%)</w:t>
            </w:r>
          </w:p>
        </w:tc>
      </w:tr>
      <w:tr>
        <w:tc>
          <w:tcPr>
            <w:tcW w:type="dxa" w:w="4320"/>
          </w:tcPr>
          <w:p>
            <w:r>
              <w:t>Infrastructure / inference</w:t>
            </w:r>
          </w:p>
        </w:tc>
        <w:tc>
          <w:tcPr>
            <w:tcW w:type="dxa" w:w="4320"/>
          </w:tcPr>
          <w:p>
            <w:r>
              <w:t>≤ 12% of revenue</w:t>
            </w:r>
          </w:p>
        </w:tc>
      </w:tr>
      <w:tr>
        <w:tc>
          <w:tcPr>
            <w:tcW w:type="dxa" w:w="4320"/>
          </w:tcPr>
          <w:p>
            <w:r>
              <w:t>Subcontracting</w:t>
            </w:r>
          </w:p>
        </w:tc>
        <w:tc>
          <w:tcPr>
            <w:tcW w:type="dxa" w:w="4320"/>
          </w:tcPr>
          <w:p>
            <w:r>
              <w:t>≤ 15% of revenue</w:t>
            </w:r>
          </w:p>
        </w:tc>
      </w:tr>
      <w:tr>
        <w:tc>
          <w:tcPr>
            <w:tcW w:type="dxa" w:w="4320"/>
          </w:tcPr>
          <w:p>
            <w:r>
              <w:t>Risk reserve</w:t>
            </w:r>
          </w:p>
        </w:tc>
        <w:tc>
          <w:tcPr>
            <w:tcW w:type="dxa" w:w="4320"/>
          </w:tcPr>
          <w:p>
            <w:r>
              <w:t>10% of budget</w:t>
            </w:r>
          </w:p>
        </w:tc>
      </w:tr>
      <w:tr>
        <w:tc>
          <w:tcPr>
            <w:tcW w:type="dxa" w:w="4320"/>
          </w:tcPr>
          <w:p>
            <w:r>
              <w:t>Target gross margin</w:t>
            </w:r>
          </w:p>
        </w:tc>
        <w:tc>
          <w:tcPr>
            <w:tcW w:type="dxa" w:w="4320"/>
          </w:tcPr>
          <w:p>
            <w:r>
              <w:t>≥ 45% of revenue</w:t>
            </w:r>
          </w:p>
        </w:tc>
      </w:tr>
      <w:tr>
        <w:tc>
          <w:tcPr>
            <w:tcW w:type="dxa" w:w="4320"/>
          </w:tcPr>
          <w:p>
            <w:r>
              <w:t>Target project EBITDA</w:t>
            </w:r>
          </w:p>
        </w:tc>
        <w:tc>
          <w:tcPr>
            <w:tcW w:type="dxa" w:w="4320"/>
          </w:tcPr>
          <w:p>
            <w:r>
              <w:t>≥ 20% of revenue</w:t>
            </w:r>
          </w:p>
        </w:tc>
      </w:tr>
    </w:tbl>
    <w:p>
      <w:pPr>
        <w:pStyle w:val="Heading1"/>
      </w:pPr>
      <w:r>
        <w:rPr>
          <w:color w:val="171633"/>
        </w:rPr>
        <w:t>3. Investment and liquidity</w:t>
      </w:r>
    </w:p>
    <w:p>
      <w:pPr/>
      <w:r>
        <w:t>Requirements for the project financing structure and for Evo-ai’s cash resilience during the work: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Norm</w:t>
            </w:r>
          </w:p>
        </w:tc>
      </w:tr>
      <w:tr>
        <w:tc>
          <w:tcPr>
            <w:tcW w:type="dxa" w:w="4320"/>
          </w:tcPr>
          <w:p>
            <w:r>
              <w:t>Client prepayment at start</w:t>
            </w:r>
          </w:p>
        </w:tc>
        <w:tc>
          <w:tcPr>
            <w:tcW w:type="dxa" w:w="4320"/>
          </w:tcPr>
          <w:p>
            <w:r>
              <w:t>≥ 30% of value (stop at 0%)</w:t>
            </w:r>
          </w:p>
        </w:tc>
      </w:tr>
      <w:tr>
        <w:tc>
          <w:tcPr>
            <w:tcW w:type="dxa" w:w="4320"/>
          </w:tcPr>
          <w:p>
            <w:r>
              <w:t>Cash-gap buffer</w:t>
            </w:r>
          </w:p>
        </w:tc>
        <w:tc>
          <w:tcPr>
            <w:tcW w:type="dxa" w:w="4320"/>
          </w:tcPr>
          <w:p>
            <w:r>
              <w:t>≥ 2 months of team payroll</w:t>
            </w:r>
          </w:p>
        </w:tc>
      </w:tr>
      <w:tr>
        <w:tc>
          <w:tcPr>
            <w:tcW w:type="dxa" w:w="4320"/>
          </w:tcPr>
          <w:p>
            <w:r>
              <w:t>Max project budget without escalation</w:t>
            </w:r>
          </w:p>
        </w:tc>
        <w:tc>
          <w:tcPr>
            <w:tcW w:type="dxa" w:w="4320"/>
          </w:tcPr>
          <w:p>
            <w:r>
              <w:t>≤ $90,000</w:t>
            </w:r>
          </w:p>
        </w:tc>
      </w:tr>
      <w:tr>
        <w:tc>
          <w:tcPr>
            <w:tcW w:type="dxa" w:w="4320"/>
          </w:tcPr>
          <w:p>
            <w:r>
              <w:t>Payback on R&amp;D accelerator investment</w:t>
            </w:r>
          </w:p>
        </w:tc>
        <w:tc>
          <w:tcPr>
            <w:tcW w:type="dxa" w:w="4320"/>
          </w:tcPr>
          <w:p>
            <w:r>
              <w:t>≤ 18 months</w:t>
            </w:r>
          </w:p>
        </w:tc>
      </w:tr>
    </w:tbl>
    <w:p>
      <w:pPr>
        <w:pStyle w:val="Heading1"/>
      </w:pPr>
      <w:r>
        <w:rPr>
          <w:color w:val="171633"/>
        </w:rPr>
        <w:t>4. Tax regime</w:t>
      </w:r>
    </w:p>
    <w:p>
      <w:pPr/>
      <w:r>
        <w:t>Evo-ai Ltd is taxed under the standard corporate regime in its jurisdiction and holds technology-company status (reduced payroll contributions). Verify the tax burden and the applicability of reliefs for each project with the accountant — [verify with accountant].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PS-02 Project budget norms</dc:title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