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Rate card and pricing policy</w:t>
      </w:r>
    </w:p>
    <w:p>
      <w:pPr/>
      <w:r>
        <w:t>Evo-ai · Evo-ai Ltd · owner Arthur Severin · internal standard</w:t>
      </w:r>
    </w:p>
    <w:p>
      <w:pPr/>
      <w:r>
        <w:rPr>
          <w:color w:val="808080"/>
          <w:sz w:val="18"/>
        </w:rPr>
        <w:t>Document PS-03 · Revision 1 · Approved 2025 · Reviewed annually</w:t>
      </w:r>
    </w:p>
    <w:p/>
    <w:p>
      <w:pPr>
        <w:pStyle w:val="Heading1"/>
      </w:pPr>
      <w:r>
        <w:rPr>
          <w:color w:val="171633"/>
        </w:rPr>
        <w:t>1. Purpose</w:t>
      </w:r>
    </w:p>
    <w:p>
      <w:pPr/>
      <w:r>
        <w:t>This document sets a single rate card for specialists and the rules for forming the project price. The internal rate is used to calculate cost (PS-01); the billing rate — to price for the client under T&amp;M and to estimate Fixed Price.</w:t>
      </w:r>
    </w:p>
    <w:p>
      <w:pPr>
        <w:pStyle w:val="Heading1"/>
      </w:pPr>
      <w:r>
        <w:rPr>
          <w:color w:val="171633"/>
        </w:rPr>
        <w:t>2. Rate card ($ per hour)</w:t>
      </w:r>
    </w:p>
    <w:p>
      <w:pPr/>
      <w:r>
        <w:t>Rates by grade — internal (cost) and billing (for the client):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Grade / 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Internal, $/h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Billing, $/h</w:t>
            </w:r>
          </w:p>
        </w:tc>
      </w:tr>
      <w:tr>
        <w:tc>
          <w:tcPr>
            <w:tcW w:type="dxa" w:w="2880"/>
          </w:tcPr>
          <w:p>
            <w:r>
              <w:t>Senior ML/LLM engineer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Middle developer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Junior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p>
      <w:pPr>
        <w:pStyle w:val="Heading1"/>
      </w:pPr>
      <w:r>
        <w:rPr>
          <w:color w:val="171633"/>
        </w:rPr>
        <w:t>3. Subcontracting</w:t>
      </w:r>
    </w:p>
    <w:p>
      <w:pPr/>
      <w:r>
        <w:t>External contractors’ work is re-invoiced to the client with a +20% markup on the contractor’s cost. The markup covers contractor management, quality control and risk.</w:t>
      </w:r>
    </w:p>
    <w:p>
      <w:pPr>
        <w:pStyle w:val="Heading1"/>
      </w:pPr>
      <w:r>
        <w:rPr>
          <w:color w:val="171633"/>
        </w:rPr>
        <w:t>4. Calculating Fixed Price</w:t>
      </w:r>
    </w:p>
    <w:p>
      <w:pPr/>
      <w:r>
        <w:t>The project price under the Fixed Price model is calculated as follows:</w:t>
      </w:r>
    </w:p>
    <w:p>
      <w:pPr>
        <w:pStyle w:val="ListBullet"/>
      </w:pPr>
      <w:r>
        <w:t>Fixed Price = effort estimate × billing rate × (1 + 15% reserve).</w:t>
      </w:r>
    </w:p>
    <w:p>
      <w:pPr/>
      <w:r>
        <w:t>The 15% reserve covers estimate uncertainty and unforeseen rework within the agreed scope.</w:t>
      </w:r>
    </w:p>
    <w:p>
      <w:pPr>
        <w:pStyle w:val="Heading1"/>
      </w:pPr>
      <w:r>
        <w:rPr>
          <w:color w:val="171633"/>
        </w:rPr>
        <w:t>5. Rate review</w:t>
      </w:r>
    </w:p>
    <w:p>
      <w:pPr>
        <w:pStyle w:val="ListBullet"/>
      </w:pPr>
      <w:r>
        <w:t>Scheduled rate-card review — once a year.</w:t>
      </w:r>
    </w:p>
    <w:p>
      <w:pPr>
        <w:pStyle w:val="ListBullet"/>
      </w:pPr>
      <w:r>
        <w:t>Off-cycle review — if costs rise by more than 7%.</w:t>
      </w:r>
    </w:p>
    <w:p>
      <w:pPr>
        <w:pStyle w:val="Heading1"/>
      </w:pPr>
      <w:r>
        <w:rPr>
          <w:color w:val="171633"/>
        </w:rPr>
        <w:t>6. Discounts</w:t>
      </w:r>
    </w:p>
    <w:p>
      <w:pPr>
        <w:pStyle w:val="ListBullet"/>
      </w:pPr>
      <w:r>
        <w:t>A discount must not drop the project gross margin below 45% (PS-01).</w:t>
      </w:r>
    </w:p>
    <w:p>
      <w:pPr>
        <w:pStyle w:val="ListBullet"/>
      </w:pPr>
      <w:r>
        <w:t>A discount of more than 10% — only with approval.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PS-03 Rate card and pricing policy</dc:title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