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New project assessment checklist</w:t>
      </w:r>
    </w:p>
    <w:p>
      <w:pPr/>
      <w:r>
        <w:t>Evo-ai · Evo-ai Ltd · owner Arthur Severin · internal standard</w:t>
      </w:r>
    </w:p>
    <w:p>
      <w:pPr/>
      <w:r>
        <w:rPr>
          <w:color w:val="808080"/>
          <w:sz w:val="18"/>
        </w:rPr>
        <w:t>Document PS-04 · Revision 1 · Approved 2025 · Reviewed annually</w:t>
      </w:r>
    </w:p>
    <w:p/>
    <w:p>
      <w:pPr>
        <w:pStyle w:val="Heading1"/>
      </w:pPr>
      <w:r>
        <w:rPr>
          <w:color w:val="171633"/>
        </w:rPr>
        <w:t>1. Purpose</w:t>
      </w:r>
    </w:p>
    <w:p>
      <w:pPr/>
      <w:r>
        <w:t>This document sets a single checklist for deciding on a new project: go (we take it) / conditional (we take it after reworking the terms) / no-go (we decline). The checklist brings together the economics (PS-01), the budget norms (PS-02), the rates (PS-03) and the legal risks of the contract.</w:t>
      </w:r>
    </w:p>
    <w:p>
      <w:pPr>
        <w:pStyle w:val="Heading1"/>
      </w:pPr>
      <w:r>
        <w:rPr>
          <w:color w:val="171633"/>
        </w:rPr>
        <w:t>2. Assessment criteria</w:t>
      </w:r>
    </w:p>
    <w:p>
      <w:pPr/>
      <w:r>
        <w:t>Each criterion is checked against a threshold; if a stop factor triggers, the project is not taken as is — either the terms are reworked, or we decline: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Threshold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Stop factor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≥ 45%</w:t>
            </w:r>
          </w:p>
        </w:tc>
        <w:tc>
          <w:tcPr>
            <w:tcW w:type="dxa" w:w="2880"/>
          </w:tcPr>
          <w:p>
            <w:r>
              <w:t>stop &lt; 35%</w:t>
            </w:r>
          </w:p>
        </w:tc>
      </w:tr>
      <w:tr>
        <w:tc>
          <w:tcPr>
            <w:tcW w:type="dxa" w:w="2880"/>
          </w:tcPr>
          <w:p>
            <w:r>
              <w:t>Client prepayment</w:t>
            </w:r>
          </w:p>
        </w:tc>
        <w:tc>
          <w:tcPr>
            <w:tcW w:type="dxa" w:w="2880"/>
          </w:tcPr>
          <w:p>
            <w:r>
              <w:t>≥ 30%</w:t>
            </w:r>
          </w:p>
        </w:tc>
        <w:tc>
          <w:tcPr>
            <w:tcW w:type="dxa" w:w="2880"/>
          </w:tcPr>
          <w:p>
            <w:r>
              <w:t>stop at 0%</w:t>
            </w:r>
          </w:p>
        </w:tc>
      </w:tr>
      <w:tr>
        <w:tc>
          <w:tcPr>
            <w:tcW w:type="dxa" w:w="2880"/>
          </w:tcPr>
          <w:p>
            <w:r>
              <w:t>Project budget</w:t>
            </w:r>
          </w:p>
        </w:tc>
        <w:tc>
          <w:tcPr>
            <w:tcW w:type="dxa" w:w="2880"/>
          </w:tcPr>
          <w:p>
            <w:r>
              <w:t>≤ $90,000</w:t>
            </w:r>
          </w:p>
        </w:tc>
        <w:tc>
          <w:tcPr>
            <w:tcW w:type="dxa" w:w="2880"/>
          </w:tcPr>
          <w:p>
            <w:r>
              <w:t>stop: above, without escalation</w:t>
            </w:r>
          </w:p>
        </w:tc>
      </w:tr>
      <w:tr>
        <w:tc>
          <w:tcPr>
            <w:tcW w:type="dxa" w:w="2880"/>
          </w:tcPr>
          <w:p>
            <w:r>
              <w:t>Clear spec and success metrics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stop: Fixed Price with no spec</w:t>
            </w:r>
          </w:p>
        </w:tc>
      </w:tr>
      <w:tr>
        <w:tc>
          <w:tcPr>
            <w:tcW w:type="dxa" w:w="2880"/>
          </w:tcPr>
          <w:p>
            <w:r>
              <w:t>Owner / decision-maker on client side</w:t>
            </w:r>
          </w:p>
        </w:tc>
        <w:tc>
          <w:tcPr>
            <w:tcW w:type="dxa" w:w="2880"/>
          </w:tcPr>
          <w:p>
            <w:r>
              <w:t>present</w:t>
            </w:r>
          </w:p>
        </w:tc>
        <w:tc>
          <w:tcPr>
            <w:tcW w:type="dxa" w:w="2880"/>
          </w:tcPr>
          <w:p>
            <w:r>
              <w:t>stop: no owner</w:t>
            </w:r>
          </w:p>
        </w:tc>
      </w:tr>
      <w:tr>
        <w:tc>
          <w:tcPr>
            <w:tcW w:type="dxa" w:w="2880"/>
          </w:tcPr>
          <w:p>
            <w:r>
              <w:t>Legal risks (liability, rights/payment)</w:t>
            </w:r>
          </w:p>
        </w:tc>
        <w:tc>
          <w:tcPr>
            <w:tcW w:type="dxa" w:w="2880"/>
          </w:tcPr>
          <w:p>
            <w:r>
              <w:t>acceptable</w:t>
            </w:r>
          </w:p>
        </w:tc>
        <w:tc>
          <w:tcPr>
            <w:tcW w:type="dxa" w:w="2880"/>
          </w:tcPr>
          <w:p>
            <w:r>
              <w:t>stop: unlimited liability</w:t>
            </w:r>
          </w:p>
        </w:tc>
      </w:tr>
    </w:tbl>
    <w:p>
      <w:pPr>
        <w:pStyle w:val="Heading1"/>
      </w:pPr>
      <w:r>
        <w:rPr>
          <w:color w:val="171633"/>
        </w:rPr>
        <w:t>3. Assessment procedure</w:t>
      </w:r>
    </w:p>
    <w:p>
      <w:pPr>
        <w:pStyle w:val="ListBullet"/>
      </w:pPr>
      <w:r>
        <w:t>Estimate the effort for the project.</w:t>
      </w:r>
    </w:p>
    <w:p>
      <w:pPr>
        <w:pStyle w:val="ListBullet"/>
      </w:pPr>
      <w:r>
        <w:t>Run the estimate against the PS-02 norms and the PS-03 rates.</w:t>
      </w:r>
    </w:p>
    <w:p>
      <w:pPr>
        <w:pStyle w:val="ListBullet"/>
      </w:pPr>
      <w:r>
        <w:t>Bring together the go / conditional / no-go verdict with a rationale for each criterion.</w:t>
      </w:r>
    </w:p>
    <w:p>
      <w:pPr>
        <w:pStyle w:val="Heading1"/>
      </w:pPr>
      <w:r>
        <w:rPr>
          <w:color w:val="171633"/>
        </w:rPr>
        <w:t>4. Worked example: project Hermes</w:t>
      </w:r>
    </w:p>
    <w:p>
      <w:pPr/>
      <w:r>
        <w:t>The project to implement an AI support assistant for Hermes Logistics Ltd, run through the checklist:</w:t>
      </w:r>
    </w:p>
    <w:p>
      <w:pPr>
        <w:pStyle w:val="ListBullet"/>
      </w:pPr>
      <w:r>
        <w:t>Gross margin ≈ 40% — below the 45% target, but above the 35% stop threshold → “conditional”.</w:t>
      </w:r>
    </w:p>
    <w:p>
      <w:pPr>
        <w:pStyle w:val="ListBullet"/>
      </w:pPr>
      <w:r>
        <w:t>Client prepayment 30% — norm met.</w:t>
      </w:r>
    </w:p>
    <w:p>
      <w:pPr>
        <w:pStyle w:val="ListBullet"/>
      </w:pPr>
      <w:r>
        <w:t>Project budget ≈ $41,300 — within $90,000, norm met.</w:t>
      </w:r>
    </w:p>
    <w:p>
      <w:pPr>
        <w:pStyle w:val="ListBullet"/>
      </w:pPr>
      <w:r>
        <w:t>The spec is a draft — a risk, the success metrics need fixing.</w:t>
      </w:r>
    </w:p>
    <w:p>
      <w:pPr>
        <w:pStyle w:val="ListBullet"/>
      </w:pPr>
      <w:r>
        <w:t>The Contractor’s liability is not capped at the contract value — a legal-risk stop flag.</w:t>
      </w:r>
    </w:p>
    <w:p>
      <w:pPr/>
      <w:r>
        <w:t>Verdict on project Hermes: conditional — lift the gross margin to target and cap liability in the contract, then take it on.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PS-04 Project assessment checklist</dc:title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