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71633"/>
        </w:rPr>
        <w:t>Постмортем: латентность ассистента в пик, 21.07.2026</w:t>
      </w:r>
    </w:p>
    <w:p>
      <w:r>
        <w:t>Evo-ai · ООО «Эволюшн Эй Ай» · проект «Гермес» (ООО «Гермес-Логистика») · постмортем инцидента</w:t>
      </w:r>
    </w:p>
    <w:p>
      <w:r>
        <w:rPr>
          <w:color w:val="808080"/>
          <w:sz w:val="18"/>
        </w:rPr>
        <w:t>Формат blameless · Составил Глеб Ковалёв, тимлид проекта · Разбор 23.07.2026 · Статусы действий обновлены 25.08.2026</w:t>
      </w:r>
    </w:p>
    <w:p/>
    <w:p>
      <w:pPr>
        <w:pStyle w:val="Heading1"/>
      </w:pPr>
      <w:r>
        <w:rPr>
          <w:color w:val="171633"/>
        </w:rPr>
        <w:t>1. Сводка</w:t>
      </w:r>
    </w:p>
    <w:p>
      <w:r>
        <w:t>21.07.2026 с 10:05 до 11:40 МСК (95 минут) ИИ-ассистент поддержки «Гермес-Логистики» отвечал операторам с большой задержкой или не отвечал вовсе. Основной инференс-провайдер МодельАПИ в утренний пик включил ограничение частоты запросов (HTTP 429). Наш клиент к LLM синхронный, с таймаутом 10 с, без повторных попыток и без резервного провайдера — запросы копились в очереди воркеров, и задержка выросла у всех обращений. Инцидент закончился, когда спал пик нагрузки.</w:t>
      </w:r>
    </w:p>
    <w:p>
      <w:r>
        <w:t>Постмортем в формате blameless: ищем причины в системе и процессах, а не виноватых.</w:t>
      </w:r>
    </w:p>
    <w:p>
      <w:pPr>
        <w:pStyle w:val="Heading1"/>
      </w:pPr>
      <w:r>
        <w:rPr>
          <w:color w:val="171633"/>
        </w:rPr>
        <w:t>2. Влияние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Окно инцидента</w:t>
            </w:r>
          </w:p>
        </w:tc>
        <w:tc>
          <w:tcPr>
            <w:tcW w:type="dxa" w:w="4320"/>
          </w:tcPr>
          <w:p>
            <w:r>
              <w:t>21.07.2026, 10:05–11:40 МСК (95 минут)</w:t>
            </w:r>
          </w:p>
        </w:tc>
      </w:tr>
      <w:tr>
        <w:tc>
          <w:tcPr>
            <w:tcW w:type="dxa" w:w="4320"/>
          </w:tcPr>
          <w:p>
            <w:r>
              <w:t>p95 латентности ответа</w:t>
            </w:r>
          </w:p>
        </w:tc>
        <w:tc>
          <w:tcPr>
            <w:tcW w:type="dxa" w:w="4320"/>
          </w:tcPr>
          <w:p>
            <w:r>
              <w:t>11,8 с (норма по ТЗ — &lt; 3 с)</w:t>
            </w:r>
          </w:p>
        </w:tc>
      </w:tr>
      <w:tr>
        <w:tc>
          <w:tcPr>
            <w:tcW w:type="dxa" w:w="4320"/>
          </w:tcPr>
          <w:p>
            <w:r>
              <w:t>Доля запросов с таймаутом</w:t>
            </w:r>
          </w:p>
        </w:tc>
        <w:tc>
          <w:tcPr>
            <w:tcW w:type="dxa" w:w="4320"/>
          </w:tcPr>
          <w:p>
            <w:r>
              <w:t>23%</w:t>
            </w:r>
          </w:p>
        </w:tc>
      </w:tr>
      <w:tr>
        <w:tc>
          <w:tcPr>
            <w:tcW w:type="dxa" w:w="4320"/>
          </w:tcPr>
          <w:p>
            <w:r>
              <w:t>Затронуто обращений</w:t>
            </w:r>
          </w:p>
        </w:tc>
        <w:tc>
          <w:tcPr>
            <w:tcW w:type="dxa" w:w="4320"/>
          </w:tcPr>
          <w:p>
            <w:r>
              <w:t>~140</w:t>
            </w:r>
          </w:p>
        </w:tc>
      </w:tr>
      <w:tr>
        <w:tc>
          <w:tcPr>
            <w:tcW w:type="dxa" w:w="4320"/>
          </w:tcPr>
          <w:p>
            <w:r>
              <w:t>Закрыто старшими смены вручную</w:t>
            </w:r>
          </w:p>
        </w:tc>
        <w:tc>
          <w:tcPr>
            <w:tcW w:type="dxa" w:w="4320"/>
          </w:tcPr>
          <w:p>
            <w:r>
              <w:t>6 обращений</w:t>
            </w:r>
          </w:p>
        </w:tc>
      </w:tr>
      <w:tr>
        <w:tc>
          <w:tcPr>
            <w:tcW w:type="dxa" w:w="4320"/>
          </w:tcPr>
          <w:p>
            <w:r>
              <w:t>Как обнаружили</w:t>
            </w:r>
          </w:p>
        </w:tc>
        <w:tc>
          <w:tcPr>
            <w:tcW w:type="dxa" w:w="4320"/>
          </w:tcPr>
          <w:p>
            <w:r>
              <w:t>по жалобе операторов через Сергея Лапина (ИТ «Гермес-Логистики»); алерта не было</w:t>
            </w:r>
          </w:p>
        </w:tc>
      </w:tr>
    </w:tbl>
    <w:p>
      <w:pPr>
        <w:pStyle w:val="Heading1"/>
      </w:pPr>
      <w:r>
        <w:rPr>
          <w:color w:val="171633"/>
        </w:rPr>
        <w:t>3. Хронология (21.07.2026, МСК)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6973"/>
      </w:tblGrid>
      <w:tr>
        <w:tc>
          <w:tcPr>
            <w:tcW w:type="dxa" w:w="1644"/>
          </w:tcPr>
          <w:p>
            <w:r>
              <w:rPr>
                <w:b/>
              </w:rPr>
              <w:t>Время</w:t>
            </w:r>
          </w:p>
        </w:tc>
        <w:tc>
          <w:tcPr>
            <w:tcW w:type="dxa" w:w="6973"/>
          </w:tcPr>
          <w:p>
            <w:r>
              <w:rPr>
                <w:b/>
              </w:rPr>
              <w:t>Событие</w:t>
            </w:r>
          </w:p>
        </w:tc>
      </w:tr>
      <w:tr>
        <w:tc>
          <w:tcPr>
            <w:tcW w:type="dxa" w:w="1644"/>
          </w:tcPr>
          <w:p>
            <w:r>
              <w:t>10:05</w:t>
            </w:r>
          </w:p>
        </w:tc>
        <w:tc>
          <w:tcPr>
            <w:tcW w:type="dxa" w:w="6973"/>
          </w:tcPr>
          <w:p>
            <w:r>
              <w:t>Начало утреннего пика. МодельАПИ отвечает 429 на часть запросов. Клиент ждёт до 10 с на каждом зависшем запросе, в воркерах копится очередь.</w:t>
            </w:r>
          </w:p>
        </w:tc>
      </w:tr>
      <w:tr>
        <w:tc>
          <w:tcPr>
            <w:tcW w:type="dxa" w:w="1644"/>
          </w:tcPr>
          <w:p>
            <w:r>
              <w:t>10:05–10:24</w:t>
            </w:r>
          </w:p>
        </w:tc>
        <w:tc>
          <w:tcPr>
            <w:tcW w:type="dxa" w:w="6973"/>
          </w:tcPr>
          <w:p>
            <w:r>
              <w:t>Латентность растёт у всех запросов, включая те, что МодельАПИ обслуживает. Алерта на p95 нет — команда об инциденте не знает.</w:t>
            </w:r>
          </w:p>
        </w:tc>
      </w:tr>
      <w:tr>
        <w:tc>
          <w:tcPr>
            <w:tcW w:type="dxa" w:w="1644"/>
          </w:tcPr>
          <w:p>
            <w:r>
              <w:t>10:24</w:t>
            </w:r>
          </w:p>
        </w:tc>
        <w:tc>
          <w:tcPr>
            <w:tcW w:type="dxa" w:w="6973"/>
          </w:tcPr>
          <w:p>
            <w:r>
              <w:t>Оксана Руденко передаёт в командный чат жалобу Сергея Лапина: у операторов подсказки идут 10+ секунд, часть не приходит.</w:t>
            </w:r>
          </w:p>
        </w:tc>
      </w:tr>
      <w:tr>
        <w:tc>
          <w:tcPr>
            <w:tcW w:type="dxa" w:w="1644"/>
          </w:tcPr>
          <w:p>
            <w:r>
              <w:t>10:31</w:t>
            </w:r>
          </w:p>
        </w:tc>
        <w:tc>
          <w:tcPr>
            <w:tcW w:type="dxa" w:w="6973"/>
          </w:tcPr>
          <w:p>
            <w:r>
              <w:t>Вера Сафонова находит в логах массовые 429 от МодельАПИ и таймауты по 10 с.</w:t>
            </w:r>
          </w:p>
        </w:tc>
      </w:tr>
      <w:tr>
        <w:tc>
          <w:tcPr>
            <w:tcW w:type="dxa" w:w="1644"/>
          </w:tcPr>
          <w:p>
            <w:r>
              <w:t>10:38</w:t>
            </w:r>
          </w:p>
        </w:tc>
        <w:tc>
          <w:tcPr>
            <w:tcW w:type="dxa" w:w="6973"/>
          </w:tcPr>
          <w:p>
            <w:r>
              <w:t>Глеб Ковалёв объявляет инцидент и просит переключить трафик на TokenFlow.</w:t>
            </w:r>
          </w:p>
        </w:tc>
      </w:tr>
      <w:tr>
        <w:tc>
          <w:tcPr>
            <w:tcW w:type="dxa" w:w="1644"/>
          </w:tcPr>
          <w:p>
            <w:r>
              <w:t>10:44</w:t>
            </w:r>
          </w:p>
        </w:tc>
        <w:tc>
          <w:tcPr>
            <w:tcW w:type="dxa" w:w="6973"/>
          </w:tcPr>
          <w:p>
            <w:r>
              <w:t>Переключение невозможно: fallback на TokenFlow в коде не реализован, ключ TokenFlow не настроен. README утверждал обратное.</w:t>
            </w:r>
          </w:p>
        </w:tc>
      </w:tr>
      <w:tr>
        <w:tc>
          <w:tcPr>
            <w:tcW w:type="dxa" w:w="1644"/>
          </w:tcPr>
          <w:p>
            <w:r>
              <w:t>10:52</w:t>
            </w:r>
          </w:p>
        </w:tc>
        <w:tc>
          <w:tcPr>
            <w:tcW w:type="dxa" w:w="6973"/>
          </w:tcPr>
          <w:p>
            <w:r>
              <w:t>Илья Мартов (автор кода, с 15.07 — лид проекта «Орбита») подтверждает: клиент синхронный, таймаут 10 с, ретраев нет.</w:t>
            </w:r>
          </w:p>
        </w:tc>
      </w:tr>
      <w:tr>
        <w:tc>
          <w:tcPr>
            <w:tcW w:type="dxa" w:w="1644"/>
          </w:tcPr>
          <w:p>
            <w:r>
              <w:t>11:02</w:t>
            </w:r>
          </w:p>
        </w:tc>
        <w:tc>
          <w:tcPr>
            <w:tcW w:type="dxa" w:w="6973"/>
          </w:tcPr>
          <w:p>
            <w:r>
              <w:t>Глеб Ковалёв уведомляет Павла Дёмина и Сергея Лапина: сложные обращения — сразу старшим смены, типовые — по регламентам вручную.</w:t>
            </w:r>
          </w:p>
        </w:tc>
      </w:tr>
      <w:tr>
        <w:tc>
          <w:tcPr>
            <w:tcW w:type="dxa" w:w="1644"/>
          </w:tcPr>
          <w:p>
            <w:r>
              <w:t>11:26</w:t>
            </w:r>
          </w:p>
        </w:tc>
        <w:tc>
          <w:tcPr>
            <w:tcW w:type="dxa" w:w="6973"/>
          </w:tcPr>
          <w:p>
            <w:r>
              <w:t>Доля 429 снижается, пик нагрузки спадает.</w:t>
            </w:r>
          </w:p>
        </w:tc>
      </w:tr>
      <w:tr>
        <w:tc>
          <w:tcPr>
            <w:tcW w:type="dxa" w:w="1644"/>
          </w:tcPr>
          <w:p>
            <w:r>
              <w:t>11:40</w:t>
            </w:r>
          </w:p>
        </w:tc>
        <w:tc>
          <w:tcPr>
            <w:tcW w:type="dxa" w:w="6973"/>
          </w:tcPr>
          <w:p>
            <w:r>
              <w:t>p95 возвращается в норму. Инцидент закрыт.</w:t>
            </w:r>
          </w:p>
        </w:tc>
      </w:tr>
      <w:tr>
        <w:tc>
          <w:tcPr>
            <w:tcW w:type="dxa" w:w="1644"/>
          </w:tcPr>
          <w:p>
            <w:r>
              <w:t>22.07–23.07</w:t>
            </w:r>
          </w:p>
        </w:tc>
        <w:tc>
          <w:tcPr>
            <w:tcW w:type="dxa" w:w="6973"/>
          </w:tcPr>
          <w:p>
            <w:r>
              <w:t>Черновик постмортема (22.07), разбор с командой и согласование действий (23.07).</w:t>
            </w:r>
          </w:p>
        </w:tc>
      </w:tr>
    </w:tbl>
    <w:p>
      <w:pPr>
        <w:pStyle w:val="Heading1"/>
      </w:pPr>
      <w:r>
        <w:rPr>
          <w:color w:val="171633"/>
        </w:rPr>
        <w:t>4. Корневая причина</w:t>
      </w:r>
    </w:p>
    <w:p>
      <w:r>
        <w:t>МодельАПИ в пике включил rate limiting (HTTP 429). Клиент к LLM (ModelApiClient) — синхронный, с таймаутом 10 с, без повторных попыток и без резервного провайдера. Каждый зависший запрос держал воркер до 10 с; очередь в воркерах росла, и задержка каскадом ушла на все запросы, а не только на отклонённые провайдером.</w:t>
      </w:r>
    </w:p>
    <w:p>
      <w:pPr>
        <w:pStyle w:val="Heading1"/>
      </w:pPr>
      <w:r>
        <w:rPr>
          <w:color w:val="171633"/>
        </w:rPr>
        <w:t>5. Способствующие факторы</w:t>
      </w:r>
    </w:p>
    <w:p>
      <w:pPr>
        <w:pStyle w:val="ListBullet"/>
      </w:pPr>
      <w:r>
        <w:t>Нет кэша ответов по тарифам: типовые тарифные вопросы каждый раз идут в LLM и добавляют нагрузку в пик.</w:t>
      </w:r>
    </w:p>
    <w:p>
      <w:pPr>
        <w:pStyle w:val="ListBullet"/>
      </w:pPr>
      <w:r>
        <w:t>Нет алерта на p95 латентности: об инциденте узнали от заказчика через 19 минут после начала.</w:t>
      </w:r>
    </w:p>
    <w:p>
      <w:pPr>
        <w:pStyle w:val="ListBullet"/>
      </w:pPr>
      <w:r>
        <w:t>README описывал таймаут 3 с, 2 ретрая и fallback на TokenFlow, которых в коде нет. Во время инцидента команда потратила время, выясняя, почему резерв не включился.</w:t>
      </w:r>
    </w:p>
    <w:p>
      <w:pPr>
        <w:pStyle w:val="Heading1"/>
      </w:pPr>
      <w:r>
        <w:rPr>
          <w:color w:val="171633"/>
        </w:rPr>
        <w:t>6. Что сработало и что нет</w:t>
      </w:r>
    </w:p>
    <w:p>
      <w:r>
        <w:t>Сработало:</w:t>
      </w:r>
    </w:p>
    <w:p>
      <w:pPr>
        <w:pStyle w:val="ListBullet"/>
      </w:pPr>
      <w:r>
        <w:t>Канал с заказчиком: Сергей Лапин быстро передал жалобы операторов.</w:t>
      </w:r>
    </w:p>
    <w:p>
      <w:pPr>
        <w:pStyle w:val="ListBullet"/>
      </w:pPr>
      <w:r>
        <w:t>Старшие смены подхватили сложные обращения — 6 закрыли вручную.</w:t>
      </w:r>
    </w:p>
    <w:p>
      <w:pPr>
        <w:pStyle w:val="ListBullet"/>
      </w:pPr>
      <w:r>
        <w:t>Логи позволили за несколько минут увидеть 429 и таймауты.</w:t>
      </w:r>
    </w:p>
    <w:p>
      <w:r>
        <w:t>Не сработало:</w:t>
      </w:r>
    </w:p>
    <w:p>
      <w:pPr>
        <w:pStyle w:val="ListBullet"/>
      </w:pPr>
      <w:r>
        <w:t>Мониторинг: алерта на p95 не было, инцидент обнаружил заказчик.</w:t>
      </w:r>
    </w:p>
    <w:p>
      <w:pPr>
        <w:pStyle w:val="ListBullet"/>
      </w:pPr>
      <w:r>
        <w:t>Резервный провайдер: решение «основной — МодельАПИ, запасной — TokenFlow» принято, но fallback в коде не реализован.</w:t>
      </w:r>
    </w:p>
    <w:p>
      <w:pPr>
        <w:pStyle w:val="ListBullet"/>
      </w:pPr>
      <w:r>
        <w:t>Документация: README не соответствовал коду и ввёл команду в заблуждение.</w:t>
      </w:r>
    </w:p>
    <w:p>
      <w:pPr>
        <w:pStyle w:val="Heading1"/>
      </w:pPr>
      <w:r>
        <w:rPr>
          <w:color w:val="171633"/>
        </w:rPr>
        <w:t>7. Действия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45"/>
        <w:gridCol w:w="2211"/>
        <w:gridCol w:w="1474"/>
        <w:gridCol w:w="1587"/>
      </w:tblGrid>
      <w:tr>
        <w:tc>
          <w:tcPr>
            <w:tcW w:type="dxa" w:w="3345"/>
          </w:tcPr>
          <w:p>
            <w:r>
              <w:rPr>
                <w:b/>
              </w:rPr>
              <w:t>Действие</w:t>
            </w:r>
          </w:p>
        </w:tc>
        <w:tc>
          <w:tcPr>
            <w:tcW w:type="dxa" w:w="2211"/>
          </w:tcPr>
          <w:p>
            <w:r>
              <w:rPr>
                <w:b/>
              </w:rPr>
              <w:t>Владелец</w:t>
            </w:r>
          </w:p>
        </w:tc>
        <w:tc>
          <w:tcPr>
            <w:tcW w:type="dxa" w:w="1474"/>
          </w:tcPr>
          <w:p>
            <w:r>
              <w:rPr>
                <w:b/>
              </w:rPr>
              <w:t>Срок</w:t>
            </w:r>
          </w:p>
        </w:tc>
        <w:tc>
          <w:tcPr>
            <w:tcW w:type="dxa" w:w="1587"/>
          </w:tcPr>
          <w:p>
            <w:r>
              <w:rPr>
                <w:b/>
              </w:rPr>
              <w:t>Статус на 25.08.2026</w:t>
            </w:r>
          </w:p>
        </w:tc>
      </w:tr>
      <w:tr>
        <w:tc>
          <w:tcPr>
            <w:tcW w:type="dxa" w:w="3345"/>
          </w:tcPr>
          <w:p>
            <w:r>
              <w:t>Асинхронный клиент к LLM: таймаут 3 с, 2 ретрая с джиттером</w:t>
            </w:r>
          </w:p>
        </w:tc>
        <w:tc>
          <w:tcPr>
            <w:tcW w:type="dxa" w:w="2211"/>
          </w:tcPr>
          <w:p>
            <w:r>
              <w:t>Илья Мартов → передано новому бэкенду</w:t>
            </w:r>
          </w:p>
        </w:tc>
        <w:tc>
          <w:tcPr>
            <w:tcW w:type="dxa" w:w="1474"/>
          </w:tcPr>
          <w:p>
            <w:r>
              <w:t>до 15.08.2026</w:t>
            </w:r>
          </w:p>
        </w:tc>
        <w:tc>
          <w:tcPr>
            <w:tcW w:type="dxa" w:w="1587"/>
          </w:tcPr>
          <w:p>
            <w:r>
              <w:t>не сделано</w:t>
            </w:r>
          </w:p>
        </w:tc>
      </w:tr>
      <w:tr>
        <w:tc>
          <w:tcPr>
            <w:tcW w:type="dxa" w:w="3345"/>
          </w:tcPr>
          <w:p>
            <w:r>
              <w:t>Fallback на TokenFlow при 429 и таймаутах</w:t>
            </w:r>
          </w:p>
        </w:tc>
        <w:tc>
          <w:tcPr>
            <w:tcW w:type="dxa" w:w="2211"/>
          </w:tcPr>
          <w:p>
            <w:r>
              <w:t>Вера Сафонова</w:t>
            </w:r>
          </w:p>
        </w:tc>
        <w:tc>
          <w:tcPr>
            <w:tcW w:type="dxa" w:w="1474"/>
          </w:tcPr>
          <w:p>
            <w:r>
              <w:t>до 22.08.2026</w:t>
            </w:r>
          </w:p>
        </w:tc>
        <w:tc>
          <w:tcPr>
            <w:tcW w:type="dxa" w:w="1587"/>
          </w:tcPr>
          <w:p>
            <w:r>
              <w:t>не сделано</w:t>
            </w:r>
          </w:p>
        </w:tc>
      </w:tr>
      <w:tr>
        <w:tc>
          <w:tcPr>
            <w:tcW w:type="dxa" w:w="3345"/>
          </w:tcPr>
          <w:p>
            <w:r>
              <w:t>Алерт на p95 латентности &gt; 3 с</w:t>
            </w:r>
          </w:p>
        </w:tc>
        <w:tc>
          <w:tcPr>
            <w:tcW w:type="dxa" w:w="2211"/>
          </w:tcPr>
          <w:p>
            <w:r>
              <w:t>Оксана Руденко</w:t>
            </w:r>
          </w:p>
        </w:tc>
        <w:tc>
          <w:tcPr>
            <w:tcW w:type="dxa" w:w="1474"/>
          </w:tcPr>
          <w:p>
            <w:r>
              <w:t>—</w:t>
            </w:r>
          </w:p>
        </w:tc>
        <w:tc>
          <w:tcPr>
            <w:tcW w:type="dxa" w:w="1587"/>
          </w:tcPr>
          <w:p>
            <w:r>
              <w:t>сделано 28.07.2026</w:t>
            </w:r>
          </w:p>
        </w:tc>
      </w:tr>
      <w:tr>
        <w:tc>
          <w:tcPr>
            <w:tcW w:type="dxa" w:w="3345"/>
          </w:tcPr>
          <w:p>
            <w:r>
              <w:t>Кэш ответов на типовые тарифные вопросы</w:t>
            </w:r>
          </w:p>
        </w:tc>
        <w:tc>
          <w:tcPr>
            <w:tcW w:type="dxa" w:w="2211"/>
          </w:tcPr>
          <w:p>
            <w:r>
              <w:t>без владельца</w:t>
            </w:r>
          </w:p>
        </w:tc>
        <w:tc>
          <w:tcPr>
            <w:tcW w:type="dxa" w:w="1474"/>
          </w:tcPr>
          <w:p>
            <w:r>
              <w:t>—</w:t>
            </w:r>
          </w:p>
        </w:tc>
        <w:tc>
          <w:tcPr>
            <w:tcW w:type="dxa" w:w="1587"/>
          </w:tcPr>
          <w:p>
            <w:r>
              <w:t>открыто</w:t>
            </w:r>
          </w:p>
        </w:tc>
      </w:tr>
    </w:tbl>
    <w:p>
      <w:pPr>
        <w:pStyle w:val="Heading1"/>
      </w:pPr>
      <w:r>
        <w:rPr>
          <w:color w:val="171633"/>
        </w:rPr>
        <w:t>8. Уроки</w:t>
      </w:r>
    </w:p>
    <w:p>
      <w:pPr>
        <w:pStyle w:val="ListBullet"/>
      </w:pPr>
      <w:r>
        <w:t>Не держать единственного провайдера без fallback.</w:t>
      </w:r>
    </w:p>
    <w:p>
      <w:pPr>
        <w:pStyle w:val="ListBullet"/>
      </w:pPr>
      <w:r>
        <w:t>Таймаут к LLM должен быть меньше целевой латентности ответа.</w:t>
      </w:r>
    </w:p>
    <w:p>
      <w:pPr>
        <w:pStyle w:val="ListBullet"/>
      </w:pPr>
      <w:r>
        <w:t>README — не документация, если его не проверяют.</w:t>
      </w:r>
    </w:p>
    <w:p>
      <w:pPr>
        <w:pStyle w:val="Heading1"/>
      </w:pPr>
      <w:r>
        <w:rPr>
          <w:color w:val="171633"/>
        </w:rPr>
        <w:t>9. Связанные материалы</w:t>
      </w:r>
    </w:p>
    <w:p>
      <w:r>
        <w:t>BUG-104 в баг-репортах пилота; ИС-04 «Чек-лист безопасности» — пункт о таймаутах и ретраях на внешние вызовы.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Ковалёв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