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Стандарт код-ревью</w:t>
      </w:r>
    </w:p>
    <w:p>
      <w:r>
        <w:t>Evo-ai · ООО «Эволюшн Эй Ай» · внутренний стандарт</w:t>
      </w:r>
    </w:p>
    <w:p>
      <w:r>
        <w:rPr>
          <w:color w:val="808080"/>
          <w:sz w:val="18"/>
        </w:rPr>
        <w:t>Документ ИС-01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r>
        <w:t>Документ задаёт правила код-ревью во всех проектах Evo-ai: размер изменений, число аппрувов, сроки и обязательные проверки ревьюера. Цель — чтобы в прод попадал только код, который прочитал и понял ещё хотя бы один инженер, а ревью не превращалось ни в формальность, ни в бутылочное горлышко. Стандарт применяется вместе с ИС-02 (тестирование), ИС-03 (релизы) и ИС-04 (безопасность).</w:t>
      </w:r>
    </w:p>
    <w:p>
      <w:pPr>
        <w:pStyle w:val="Heading1"/>
      </w:pPr>
      <w:r>
        <w:rPr>
          <w:color w:val="171633"/>
        </w:rPr>
        <w:t>2. Нормативы</w:t>
      </w:r>
    </w:p>
    <w:p>
      <w:r>
        <w:t>Базовые требования к pull request и к процессу ревью: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Размер pull request</w:t>
            </w:r>
          </w:p>
        </w:tc>
        <w:tc>
          <w:tcPr>
            <w:tcW w:type="dxa" w:w="4320"/>
          </w:tcPr>
          <w:p>
            <w:r>
              <w:t>≤ 400 строк диффа (больше — разбить на несколько PR)</w:t>
            </w:r>
          </w:p>
        </w:tc>
      </w:tr>
      <w:tr>
        <w:tc>
          <w:tcPr>
            <w:tcW w:type="dxa" w:w="4320"/>
          </w:tcPr>
          <w:p>
            <w:r>
              <w:t>Аппрувы для рутинных изменений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Аппрувы для изменений API, безопасности и данных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Срок ревью</w:t>
            </w:r>
          </w:p>
        </w:tc>
        <w:tc>
          <w:tcPr>
            <w:tcW w:type="dxa" w:w="4320"/>
          </w:tcPr>
          <w:p>
            <w:r>
              <w:t>≤ 1 рабочего дня с момента запроса</w:t>
            </w:r>
          </w:p>
        </w:tc>
      </w:tr>
      <w:tr>
        <w:tc>
          <w:tcPr>
            <w:tcW w:type="dxa" w:w="4320"/>
          </w:tcPr>
          <w:p>
            <w:r>
              <w:t>Мерж без зелёного CI</w:t>
            </w:r>
          </w:p>
        </w:tc>
        <w:tc>
          <w:tcPr>
            <w:tcW w:type="dxa" w:w="4320"/>
          </w:tcPr>
          <w:p>
            <w:r>
              <w:t>запрещён — автор не мержит, пока CI не зелёный</w:t>
            </w:r>
          </w:p>
        </w:tc>
      </w:tr>
    </w:tbl>
    <w:p>
      <w:pPr>
        <w:pStyle w:val="Heading1"/>
      </w:pPr>
      <w:r>
        <w:rPr>
          <w:color w:val="171633"/>
        </w:rPr>
        <w:t>3. Чек-лист ревьюера</w:t>
      </w:r>
    </w:p>
    <w:p>
      <w:r>
        <w:t>Ревьюер проходит каждый пункт; невыполненный пункт — замечание, которое блокирует аппрув: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Пункт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проверить</w:t>
            </w:r>
          </w:p>
        </w:tc>
      </w:tr>
      <w:tr>
        <w:tc>
          <w:tcPr>
            <w:tcW w:type="dxa" w:w="4320"/>
          </w:tcPr>
          <w:p>
            <w:r>
              <w:t>Тесты</w:t>
            </w:r>
          </w:p>
        </w:tc>
        <w:tc>
          <w:tcPr>
            <w:tcW w:type="dxa" w:w="4320"/>
          </w:tcPr>
          <w:p>
            <w:r>
              <w:t>новый код покрыт тестами по ИС-02, тесты проходят в CI</w:t>
            </w:r>
          </w:p>
        </w:tc>
      </w:tr>
      <w:tr>
        <w:tc>
          <w:tcPr>
            <w:tcW w:type="dxa" w:w="4320"/>
          </w:tcPr>
          <w:p>
            <w:r>
              <w:t>Контракты</w:t>
            </w:r>
          </w:p>
        </w:tc>
        <w:tc>
          <w:tcPr>
            <w:tcW w:type="dxa" w:w="4320"/>
          </w:tcPr>
          <w:p>
            <w:r>
              <w:t>публичный API не сломан; изменения контракта описаны и согласованы с потребителями (фронтенд, заказчик)</w:t>
            </w:r>
          </w:p>
        </w:tc>
      </w:tr>
      <w:tr>
        <w:tc>
          <w:tcPr>
            <w:tcW w:type="dxa" w:w="4320"/>
          </w:tcPr>
          <w:p>
            <w:r>
              <w:t>Секреты</w:t>
            </w:r>
          </w:p>
        </w:tc>
        <w:tc>
          <w:tcPr>
            <w:tcW w:type="dxa" w:w="4320"/>
          </w:tcPr>
          <w:p>
            <w:r>
              <w:t>в диффе нет ключей, токенов и паролей; секреты — только в .env или секрет-сторе (ИС-04)</w:t>
            </w:r>
          </w:p>
        </w:tc>
      </w:tr>
      <w:tr>
        <w:tc>
          <w:tcPr>
            <w:tcW w:type="dxa" w:w="4320"/>
          </w:tcPr>
          <w:p>
            <w:r>
              <w:t>Логи</w:t>
            </w:r>
          </w:p>
        </w:tc>
        <w:tc>
          <w:tcPr>
            <w:tcW w:type="dxa" w:w="4320"/>
          </w:tcPr>
          <w:p>
            <w:r>
              <w:t>в логах нет персональных данных в открытом виде — только маскированно (ИС-04)</w:t>
            </w:r>
          </w:p>
        </w:tc>
      </w:tr>
      <w:tr>
        <w:tc>
          <w:tcPr>
            <w:tcW w:type="dxa" w:w="4320"/>
          </w:tcPr>
          <w:p>
            <w:r>
              <w:t>Миграции</w:t>
            </w:r>
          </w:p>
        </w:tc>
        <w:tc>
          <w:tcPr>
            <w:tcW w:type="dxa" w:w="4320"/>
          </w:tcPr>
          <w:p>
            <w:r>
              <w:t>миграции данных обратимы или есть план восстановления</w:t>
            </w:r>
          </w:p>
        </w:tc>
      </w:tr>
      <w:tr>
        <w:tc>
          <w:tcPr>
            <w:tcW w:type="dxa" w:w="4320"/>
          </w:tcPr>
          <w:p>
            <w:r>
              <w:t>Откат</w:t>
            </w:r>
          </w:p>
        </w:tc>
        <w:tc>
          <w:tcPr>
            <w:tcW w:type="dxa" w:w="4320"/>
          </w:tcPr>
          <w:p>
            <w:r>
              <w:t>понятно, как откатить изменение (ИС-03)</w:t>
            </w:r>
          </w:p>
        </w:tc>
      </w:tr>
    </w:tbl>
    <w:p>
      <w:pPr>
        <w:pStyle w:val="Heading1"/>
      </w:pPr>
      <w:r>
        <w:rPr>
          <w:color w:val="171633"/>
        </w:rPr>
        <w:t>4. Порядок ревью</w:t>
      </w:r>
    </w:p>
    <w:p>
      <w:pPr>
        <w:pStyle w:val="ListBullet"/>
      </w:pPr>
      <w:r>
        <w:t>Автор открывает PR с описанием: что меняется, зачем, как проверить и как откатить.</w:t>
      </w:r>
    </w:p>
    <w:p>
      <w:pPr>
        <w:pStyle w:val="ListBullet"/>
      </w:pPr>
      <w:r>
        <w:t>Автор назначает ревьюеров: одного — для рутинного изменения, двух — если затронуты API, безопасность или данные.</w:t>
      </w:r>
    </w:p>
    <w:p>
      <w:pPr>
        <w:pStyle w:val="ListBullet"/>
      </w:pPr>
      <w:r>
        <w:t>Ревьюер проходит чек-лист раздела 3 и оставляет замечания не позже чем через 1 рабочий день.</w:t>
      </w:r>
    </w:p>
    <w:p>
      <w:pPr>
        <w:pStyle w:val="ListBullet"/>
      </w:pPr>
      <w:r>
        <w:t>Автор мержит сам — только после нужного числа аппрувов и зелёного CI.</w:t>
      </w:r>
    </w:p>
    <w:p>
      <w:pPr>
        <w:pStyle w:val="Heading1"/>
      </w:pPr>
      <w:r>
        <w:rPr>
          <w:color w:val="171633"/>
        </w:rPr>
        <w:t>5. Разногласия</w:t>
      </w:r>
    </w:p>
    <w:p>
      <w:r>
        <w:t>Если автор и ревьюер не договорились, решение принимает тимлид проекта. Если ревью не состоялось за 1 рабочий день, автор сообщает тимлиду.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Evo-ai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