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Чек-лист безопасности</w:t>
      </w:r>
    </w:p>
    <w:p>
      <w:r>
        <w:t>Evo-ai · ООО «Эволюшн Эй Ай» · внутренний стандарт</w:t>
      </w:r>
    </w:p>
    <w:p>
      <w:r>
        <w:rPr>
          <w:color w:val="808080"/>
          <w:sz w:val="18"/>
        </w:rPr>
        <w:t>Документ ИС-04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r>
        <w:t>Документ — обязательный чек-лист безопасности для сервисов Evo-ai, которые работают с данными заказчиков и внешними LLM. Чек-лист проходится на ревью изменений, затрагивающих безопасность (ИС-01), и перед каждым релизом (ИС-03). Невыполненный пункт — повод остановить релиз до исправления.</w:t>
      </w:r>
    </w:p>
    <w:p>
      <w:pPr>
        <w:pStyle w:val="Heading1"/>
      </w:pPr>
      <w:r>
        <w:rPr>
          <w:color w:val="171633"/>
        </w:rPr>
        <w:t>2. Секреты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Где хранятся секреты (ключи API, токены, пароли)</w:t>
            </w:r>
          </w:p>
        </w:tc>
        <w:tc>
          <w:tcPr>
            <w:tcW w:type="dxa" w:w="4320"/>
          </w:tcPr>
          <w:p>
            <w:r>
              <w:t>только в .env или секрет-сторе; .env — под .gitignore</w:t>
            </w:r>
          </w:p>
        </w:tc>
      </w:tr>
      <w:tr>
        <w:tc>
          <w:tcPr>
            <w:tcW w:type="dxa" w:w="4320"/>
          </w:tcPr>
          <w:p>
            <w:r>
              <w:t>Секреты в коде и репозитории</w:t>
            </w:r>
          </w:p>
        </w:tc>
        <w:tc>
          <w:tcPr>
            <w:tcW w:type="dxa" w:w="4320"/>
          </w:tcPr>
          <w:p>
            <w:r>
              <w:t>запрещены — никогда, в том числе «временно»</w:t>
            </w:r>
          </w:p>
        </w:tc>
      </w:tr>
    </w:tbl>
    <w:p>
      <w:pPr>
        <w:pStyle w:val="Heading1"/>
      </w:pPr>
      <w:r>
        <w:rPr>
          <w:color w:val="171633"/>
        </w:rPr>
        <w:t>3. Персональные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ПДн в логах (ФИО, телефоны, адреса)</w:t>
            </w:r>
          </w:p>
        </w:tc>
        <w:tc>
          <w:tcPr>
            <w:tcW w:type="dxa" w:w="4320"/>
          </w:tcPr>
          <w:p>
            <w:r>
              <w:t>только маскированно (152-ФЗ)</w:t>
            </w:r>
          </w:p>
        </w:tc>
      </w:tr>
    </w:tbl>
    <w:p>
      <w:pPr>
        <w:pStyle w:val="Heading1"/>
      </w:pPr>
      <w:r>
        <w:rPr>
          <w:color w:val="171633"/>
        </w:rPr>
        <w:t>4. Внешние входы и публичные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только известные источники</w:t>
            </w:r>
          </w:p>
        </w:tc>
      </w:tr>
      <w:tr>
        <w:tc>
          <w:tcPr>
            <w:tcW w:type="dxa" w:w="4320"/>
          </w:tcPr>
          <w:p>
            <w:r>
              <w:t>Внешние входы (сообщения клиентов, файлы, страницы)</w:t>
            </w:r>
          </w:p>
        </w:tc>
        <w:tc>
          <w:tcPr>
            <w:tcW w:type="dxa" w:w="4320"/>
          </w:tcPr>
          <w:p>
            <w:r>
              <w:t>считаются недоверенными</w:t>
            </w:r>
          </w:p>
        </w:tc>
      </w:tr>
      <w:tr>
        <w:tc>
          <w:tcPr>
            <w:tcW w:type="dxa" w:w="4320"/>
          </w:tcPr>
          <w:p>
            <w:r>
              <w:t>Защита от prompt injection</w:t>
            </w:r>
          </w:p>
        </w:tc>
        <w:tc>
          <w:tcPr>
            <w:tcW w:type="dxa" w:w="4320"/>
          </w:tcPr>
          <w:p>
            <w:r>
              <w:t>инструкции из данных не исполняются: сообщение клиента не может поменять поведение ассистента, выдать конфигурацию или секреты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обязателен на публичных эндпоинтах</w:t>
            </w:r>
          </w:p>
        </w:tc>
      </w:tr>
    </w:tbl>
    <w:p>
      <w:pPr>
        <w:pStyle w:val="Heading1"/>
      </w:pPr>
      <w:r>
        <w:rPr>
          <w:color w:val="171633"/>
        </w:rPr>
        <w:t>5. Зависимости и внешние вызовы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Зависимости</w:t>
            </w:r>
          </w:p>
        </w:tc>
        <w:tc>
          <w:tcPr>
            <w:tcW w:type="dxa" w:w="4320"/>
          </w:tcPr>
          <w:p>
            <w:r>
              <w:t>без известных CVE уровня high/critical</w:t>
            </w:r>
          </w:p>
        </w:tc>
      </w:tr>
      <w:tr>
        <w:tc>
          <w:tcPr>
            <w:tcW w:type="dxa" w:w="4320"/>
          </w:tcPr>
          <w:p>
            <w:r>
              <w:t>Внешние вызовы (LLM-провайдеры, API заказчиков)</w:t>
            </w:r>
          </w:p>
        </w:tc>
        <w:tc>
          <w:tcPr>
            <w:tcW w:type="dxa" w:w="4320"/>
          </w:tcPr>
          <w:p>
            <w:r>
              <w:t>таймауты и ретраи обязательны</w:t>
            </w:r>
          </w:p>
        </w:tc>
      </w:tr>
    </w:tbl>
    <w:p>
      <w:pPr>
        <w:pStyle w:val="Heading1"/>
      </w:pPr>
      <w:r>
        <w:rPr>
          <w:color w:val="171633"/>
        </w:rPr>
        <w:t>6. Как пользоваться чек-листом</w:t>
      </w:r>
    </w:p>
    <w:p>
      <w:pPr>
        <w:pStyle w:val="ListBullet"/>
      </w:pPr>
      <w:r>
        <w:t>Автор изменения проходит чек-лист до запроса ревью и отмечает в описании PR, какие пункты затронуты.</w:t>
      </w:r>
    </w:p>
    <w:p>
      <w:pPr>
        <w:pStyle w:val="ListBullet"/>
      </w:pPr>
      <w:r>
        <w:t>Ревьюер изменений API, безопасности и данных проверяет эти пункты по существу (ИС-01: 2 аппрува).</w:t>
      </w:r>
    </w:p>
    <w:p>
      <w:pPr>
        <w:pStyle w:val="ListBullet"/>
      </w:pPr>
      <w:r>
        <w:t>Перед релизом релиз-менеджер сверяет чек-лист целиком (ИС-03).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Evo-ai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