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Финансовая модель проекта и показатели эффективности</w:t>
      </w:r>
    </w:p>
    <w:p>
      <w:r>
        <w:rPr/>
        <w:t>Эпиграф · ООО «Эпиграф Девелопмент» · внутренний стандарт</w:t>
      </w:r>
    </w:p>
    <w:p>
      <w:r>
        <w:rPr>
          <w:color w:val="808080"/>
          <w:sz w:val="18"/>
        </w:rPr>
        <w:t>Документ ФС-01 · Редакция 2 · Утверждён 2025 · Пересмотр — ежегодно</w:t>
      </w:r>
    </w:p>
    <w:p/>
    <w:p>
      <w:pPr>
        <w:pStyle w:val="Heading1"/>
      </w:pPr>
      <w:r>
        <w:t>1. Назначение</w:t>
      </w:r>
    </w:p>
    <w:p>
      <w:r>
        <w:rPr/>
        <w:t>Документ задаёт единый способ считать экономику девелоперского проекта «Эпиграфа»: выручку, себестоимость, валовую маржу, IRR на собственный капитал, NPV и чувствительность. По этим правилам строится финансовая модель к инвесткомитету (ФС-04) и для банка. Целевые значения и предельные доли статей — в ФС-02, правила цены — в ФС-03.</w:t>
      </w:r>
    </w:p>
    <w:p>
      <w:pPr>
        <w:pStyle w:val="Heading1"/>
      </w:pPr>
      <w:r>
        <w:t>2. Выручка проекта</w:t>
      </w:r>
    </w:p>
    <w:p>
      <w:r>
        <w:rPr/>
        <w:t>Выручка проекта = продаваемая площадь × цена + машино-места + кладовые.</w:t>
      </w:r>
    </w:p>
    <w:p>
      <w:pPr>
        <w:pStyle w:val="ListBullet"/>
      </w:pPr>
      <w:r>
        <w:rPr/>
        <w:t>Жильё — продаваемая площадь каждого корпуса и типа лотов (резиденции, пентхаусы) × цена за м² по ФС-03.</w:t>
      </w:r>
    </w:p>
    <w:p>
      <w:pPr>
        <w:pStyle w:val="ListBullet"/>
      </w:pPr>
      <w:r>
        <w:rPr/>
        <w:t>Машино-места — количество × цена машино-места.</w:t>
      </w:r>
    </w:p>
    <w:p>
      <w:pPr>
        <w:pStyle w:val="ListBullet"/>
      </w:pPr>
      <w:r>
        <w:rPr/>
        <w:t>Кладовые — количество × цена кладовой.</w:t>
      </w:r>
    </w:p>
    <w:p>
      <w:pPr>
        <w:pStyle w:val="Heading1"/>
      </w:pPr>
      <w:r>
        <w:t>3. Себестоимость проекта</w:t>
      </w:r>
    </w:p>
    <w:p>
      <w:r>
        <w:rPr/>
        <w:t>Затраты проекта группируются по тем же статьям, что и в финансовой модели:</w:t>
      </w:r>
    </w:p>
    <w:p>
      <w:pPr>
        <w:pStyle w:val="ListBullet"/>
      </w:pPr>
      <w:r>
        <w:rPr/>
        <w:t>Земля и права (включая выкуп существующих зданий).</w:t>
      </w:r>
    </w:p>
    <w:p>
      <w:pPr>
        <w:pStyle w:val="ListBullet"/>
      </w:pPr>
      <w:r>
        <w:rPr/>
        <w:t>ПИР, изыскания, экспертиза.</w:t>
      </w:r>
    </w:p>
    <w:p>
      <w:pPr>
        <w:pStyle w:val="ListBullet"/>
      </w:pPr>
      <w:r>
        <w:rPr/>
        <w:t>Реставрация и реконструкция исторических корпусов.</w:t>
      </w:r>
    </w:p>
    <w:p>
      <w:pPr>
        <w:pStyle w:val="ListBullet"/>
      </w:pPr>
      <w:r>
        <w:rPr/>
        <w:t>СМР по договору генерального подряда.</w:t>
      </w:r>
    </w:p>
    <w:p>
      <w:pPr>
        <w:pStyle w:val="ListBullet"/>
      </w:pPr>
      <w:r>
        <w:rPr/>
        <w:t>Фасады (камень, остекление, бронза), если они вне генподряда.</w:t>
      </w:r>
    </w:p>
    <w:p>
      <w:pPr>
        <w:pStyle w:val="ListBullet"/>
      </w:pPr>
      <w:r>
        <w:rPr/>
        <w:t>Инженерия и лифты (вне генподряда).</w:t>
      </w:r>
    </w:p>
    <w:p>
      <w:pPr>
        <w:pStyle w:val="ListBullet"/>
      </w:pPr>
      <w:r>
        <w:rPr/>
        <w:t>МОП и лобби (отделка).</w:t>
      </w:r>
    </w:p>
    <w:p>
      <w:pPr>
        <w:pStyle w:val="ListBullet"/>
      </w:pPr>
      <w:r>
        <w:rPr/>
        <w:t>Благоустройство и сад.</w:t>
      </w:r>
    </w:p>
    <w:p>
      <w:pPr>
        <w:pStyle w:val="ListBullet"/>
      </w:pPr>
      <w:r>
        <w:rPr/>
        <w:t>Маркетинг.</w:t>
      </w:r>
    </w:p>
    <w:p>
      <w:pPr>
        <w:pStyle w:val="ListBullet"/>
      </w:pPr>
      <w:r>
        <w:rPr/>
        <w:t>Брокерское вознаграждение.</w:t>
      </w:r>
    </w:p>
    <w:p>
      <w:pPr>
        <w:pStyle w:val="ListBullet"/>
      </w:pPr>
      <w:r>
        <w:rPr/>
        <w:t>Проценты по проектному финансированию.</w:t>
      </w:r>
    </w:p>
    <w:p>
      <w:pPr>
        <w:pStyle w:val="ListBullet"/>
      </w:pPr>
      <w:r>
        <w:rPr/>
        <w:t>Управление проектом.</w:t>
      </w:r>
    </w:p>
    <w:p>
      <w:pPr>
        <w:pStyle w:val="ListBullet"/>
      </w:pPr>
      <w:r>
        <w:rPr/>
        <w:t>Резерв на непредвиденные расходы.</w:t>
      </w:r>
    </w:p>
    <w:p>
      <w:pPr>
        <w:pStyle w:val="Heading1"/>
      </w:pPr>
      <w:r>
        <w:t>4. Валовая маржа</w:t>
      </w:r>
    </w:p>
    <w:p>
      <w:r>
        <w:rPr/>
        <w:t>Валовая маржа = (Выручка − Затраты) / Выручка. Ключевой показатель проекта на входе и в ходе реализации. Целевое значение — не ниже 25% (ФС-02); стоп-фактор — ниже 18% при базовом сценарии.</w:t>
      </w:r>
    </w:p>
    <w:p>
      <w:pPr>
        <w:pStyle w:val="Heading1"/>
      </w:pPr>
      <w:r>
        <w:t>5. IRR на собственный капитал</w:t>
      </w:r>
    </w:p>
    <w:p>
      <w:r>
        <w:rPr/>
        <w:t>IRR считается на собственный капитал по квартальным денежным потокам: вложения собственных средств — со знаком «минус», возврат после раскрытия эскроу и погашения проектного кредита — со знаком «плюс».</w:t>
      </w:r>
    </w:p>
    <w:p>
      <w:pPr>
        <w:pStyle w:val="ListBullet"/>
      </w:pPr>
      <w:r>
        <w:rPr/>
        <w:t>IRR квартальный — по ряду квартальных потоков на собственный капитал.</w:t>
      </w:r>
    </w:p>
    <w:p>
      <w:pPr>
        <w:pStyle w:val="ListBullet"/>
      </w:pPr>
      <w:r>
        <w:rPr/>
        <w:t>IRR годовой = (1 + IRR кв.)^4 − 1.</w:t>
      </w:r>
    </w:p>
    <w:p>
      <w:pPr>
        <w:pStyle w:val="ListBullet"/>
      </w:pPr>
      <w:r>
        <w:rPr/>
        <w:t>Целевое значение — не ниже 22% годовых (ФС-02).</w:t>
      </w:r>
    </w:p>
    <w:p>
      <w:pPr>
        <w:pStyle w:val="Heading1"/>
      </w:pPr>
      <w:r>
        <w:t>6. NPV</w:t>
      </w:r>
    </w:p>
    <w:p>
      <w:r>
        <w:rPr/>
        <w:t>NPV считается по тем же потокам на собственный капитал при ставке дисконтирования 20% годовых. Для квартальных потоков используется эквивалентная квартальная ставка (1,20)^(1/4) − 1.</w:t>
      </w:r>
    </w:p>
    <w:p>
      <w:pPr>
        <w:pStyle w:val="Heading1"/>
      </w:pPr>
      <w:r>
        <w:t>7. Обязательная чувствительность</w:t>
      </w:r>
    </w:p>
    <w:p>
      <w:r>
        <w:rPr/>
        <w:t>Любая модель к инвесткомитету и для банка содержит три сценария чувствительности. По каждому — валовая маржа и IRR на собственный капитал: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FB5A5"/>
          <w:left w:val="single" w:sz="4" w:space="0" w:color="BFB5A5"/>
          <w:bottom w:val="single" w:sz="4" w:space="0" w:color="BFB5A5"/>
          <w:right w:val="single" w:sz="4" w:space="0" w:color="BFB5A5"/>
          <w:insideH w:val="single" w:sz="4" w:space="0" w:color="BFB5A5"/>
          <w:insideV w:val="single" w:sz="4" w:space="0" w:color="BFB5A5"/>
        </w:tblBorders>
      </w:tblPr>
      <w:tblGrid>
        <w:gridCol w:w="4677"/>
        <w:gridCol w:w="4677"/>
      </w:tblGrid>
      <w:tr>
        <w:tc>
          <w:tcPr>
            <w:tcW w:type="dxa" w:w="3118"/>
            <w:shd w:val="clear" w:color="auto" w:fill="ECE6DC"/>
          </w:tcPr>
          <w:p>
            <w:r>
              <w:rPr>
                <w:b/>
                <w:sz w:val="20"/>
              </w:rPr>
              <w:t>Сценарий</w:t>
            </w:r>
          </w:p>
        </w:tc>
        <w:tc>
          <w:tcPr>
            <w:tcW w:type="dxa" w:w="6236"/>
            <w:shd w:val="clear" w:color="auto" w:fill="ECE6DC"/>
          </w:tcPr>
          <w:p>
            <w:r>
              <w:rPr>
                <w:b/>
                <w:sz w:val="20"/>
              </w:rPr>
              <w:t>Что меняем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Цена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цена продажи −10% ко всем лотам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Срок ввода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ввод +6 месяцев (сдвиг раскрытия эскроу)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Стоимость строительства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СМР +10%</w:t>
            </w:r>
          </w:p>
        </w:tc>
      </w:tr>
    </w:tbl>
    <w:p/>
    <w:p>
      <w:pPr>
        <w:pStyle w:val="Heading1"/>
      </w:pPr>
      <w:r>
        <w:t>8. Горизонт модели</w:t>
      </w:r>
    </w:p>
    <w:p>
      <w:r>
        <w:rPr/>
        <w:t>Горизонт — до раскрытия эскроу по последнему корпусу проекта.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22201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22201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Georgia" w:hAnsi="Georgia" w:eastAsia="Georgia" w:cs="Georgia"/>
      <w:b/>
      <w:bCs/>
      <w:color w:val="22201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A27B4E"/>
      </w:pBdr>
      <w:spacing w:after="300" w:line="240" w:lineRule="auto"/>
      <w:contextualSpacing/>
    </w:pPr>
    <w:rPr>
      <w:rFonts w:ascii="Georgia" w:hAnsi="Georgia" w:eastAsia="Georgia" w:cs="Georgia"/>
      <w:color w:val="22201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Arial" w:cs="Arial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 w:cs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 w:cs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ФС-01 Финансовая модель проекта и показатели эффективности</dc:title>
  <dc:subject/>
  <dc:creator>Эпиграф</dc:creator>
  <cp:keywords/>
  <dc:description/>
  <cp:lastModifiedBy>Эпиграф</cp:lastModifiedBy>
  <cp:revision>1</cp:revision>
  <dcterms:created xsi:type="dcterms:W3CDTF">2025-12-15T10:00:00Z</dcterms:created>
  <dcterms:modified xsi:type="dcterms:W3CDTF">2025-12-15T10:00:00Z</dcterms:modified>
  <cp:category/>
</cp:coreProperties>
</file>