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Бюджетные нормативы девелоперского проекта</w:t>
      </w:r>
    </w:p>
    <w:p>
      <w:r>
        <w:rPr/>
        <w:t>Эпиграф · ООО «Эпиграф Девелопмент» · внутренний стандарт</w:t>
      </w:r>
    </w:p>
    <w:p>
      <w:r>
        <w:rPr>
          <w:color w:val="808080"/>
          <w:sz w:val="18"/>
        </w:rPr>
        <w:t>Документ ФС-02 · Редакция 2 · Утверждён 2025 · Пересмотр — ежегодно</w:t>
      </w:r>
    </w:p>
    <w:p/>
    <w:p>
      <w:pPr>
        <w:pStyle w:val="Heading1"/>
      </w:pPr>
      <w:r>
        <w:t>1. Назначение</w:t>
      </w:r>
    </w:p>
    <w:p>
      <w:r>
        <w:rPr/>
        <w:t>Документ задаёт предельные доли статей затрат в выручке проекта, целевые показатели эффективности и требования к собственным средствам. Нормативы применяются при оценке участка и проекта на инвесткомитете (ФС-04) и при контроле бюджета в ходе реализации. Показатели считаются по правилам ФС-01.</w:t>
      </w:r>
    </w:p>
    <w:p>
      <w:pPr>
        <w:pStyle w:val="Heading1"/>
      </w:pPr>
      <w:r>
        <w:t>2. Доли в выручке проекта</w:t>
      </w:r>
    </w:p>
    <w:p>
      <w:r>
        <w:rPr/>
        <w:t>Предельные доли статей затрат в пересчёте на выручку проекта: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Земля (включая права и выкуп существующих зданий)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25%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Строительство (СМР + реставрация + фасады + инженерия + МОП + благоустройство)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45%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Маркетинг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2,5%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Брокерское вознаграждение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2%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Управление проектом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3%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Проценты по проектному финансированию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6% выручки</w:t>
            </w:r>
          </w:p>
        </w:tc>
      </w:tr>
    </w:tbl>
    <w:p/>
    <w:p>
      <w:pPr>
        <w:pStyle w:val="Heading1"/>
      </w:pPr>
      <w:r>
        <w:t>3. Резерв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Резерв на непредвиденные расходы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5% строительных затрат</w:t>
            </w:r>
          </w:p>
        </w:tc>
      </w:tr>
    </w:tbl>
    <w:p/>
    <w:p>
      <w:r>
        <w:rPr/>
        <w:t>Строительные затраты для расчёта резерва — вся группа «Строительство» из раздела 2: СМР, реставрация, фасады, инженерия, МОП и благоустройство.</w:t>
      </w:r>
    </w:p>
    <w:p>
      <w:pPr>
        <w:pStyle w:val="Heading1"/>
      </w:pPr>
      <w:r>
        <w:t>4. Целевые показатели эффективности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Целевая валовая маржа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25% выручки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Целевой IRR на собственный капитал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22% годовых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Стоп-фактор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валовая маржа &lt; 18% при базовом сценарии</w:t>
            </w:r>
          </w:p>
        </w:tc>
      </w:tr>
    </w:tbl>
    <w:p/>
    <w:p>
      <w:pPr>
        <w:pStyle w:val="Heading1"/>
      </w:pPr>
      <w:r>
        <w:t>5. Финансирование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Собственные средства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15% бюджета проекта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ФС-02 Бюджетные нормативы девелоперского проекта</dc:title>
  <dc:subject/>
  <dc:creator>Эпиграф</dc:creator>
  <cp:keywords/>
  <dc:description/>
  <cp:lastModifiedBy>Эпиграф</cp:lastModifiedBy>
  <cp:revision>1</cp:revision>
  <dcterms:created xsi:type="dcterms:W3CDTF">2025-12-15T10:00:00Z</dcterms:created>
  <dcterms:modified xsi:type="dcterms:W3CDTF">2025-12-15T10:00:00Z</dcterms:modified>
  <cp:category/>
</cp:coreProperties>
</file>