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Ценообразование и скидочная политика</w:t>
      </w:r>
    </w:p>
    <w:p>
      <w:r>
        <w:rPr/>
        <w:t>Эпиграф · ООО «Эпиграф Девелопмент» · внутренний стандарт</w:t>
      </w:r>
    </w:p>
    <w:p>
      <w:r>
        <w:rPr>
          <w:color w:val="808080"/>
          <w:sz w:val="18"/>
        </w:rPr>
        <w:t>Документ ФС-03 · Редакция 2 · Утверждён 2025 · Пересмотр — ежегодно</w:t>
      </w:r>
    </w:p>
    <w:p/>
    <w:p>
      <w:pPr>
        <w:pStyle w:val="Heading1"/>
      </w:pPr>
      <w:r>
        <w:t>1. Назначение</w:t>
      </w:r>
    </w:p>
    <w:p>
      <w:r>
        <w:rPr/>
        <w:t>Документ задаёт правила установления базовой цены, роста цены по этапам строительства, допустимые скидки и брокерское вознаграждение. Цены по этому стандарту закладываются в финансовую модель (ФС-01) и в прайс-лист проекта.</w:t>
      </w:r>
    </w:p>
    <w:p>
      <w:pPr>
        <w:pStyle w:val="Heading1"/>
      </w:pPr>
      <w:r>
        <w:t>2. Базовая цена</w:t>
      </w:r>
    </w:p>
    <w:p>
      <w:pPr>
        <w:pStyle w:val="ListBullet"/>
      </w:pPr>
      <w:r>
        <w:rPr/>
        <w:t>Базовая цена за м² определяется по 3–5 сопоставимым проектам в радиусе 1,5 км.</w:t>
      </w:r>
    </w:p>
    <w:p>
      <w:pPr>
        <w:pStyle w:val="ListBullet"/>
      </w:pPr>
      <w:r>
        <w:rPr/>
        <w:t>К ней применяется поправка на особенности места (история дома, сад, виды) — не более +15%.</w:t>
      </w:r>
    </w:p>
    <w:p>
      <w:pPr>
        <w:pStyle w:val="Heading1"/>
      </w:pPr>
      <w:r>
        <w:t>3. Рост цены по этапам строительства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FB5A5"/>
          <w:left w:val="single" w:sz="4" w:space="0" w:color="BFB5A5"/>
          <w:bottom w:val="single" w:sz="4" w:space="0" w:color="BFB5A5"/>
          <w:right w:val="single" w:sz="4" w:space="0" w:color="BFB5A5"/>
          <w:insideH w:val="single" w:sz="4" w:space="0" w:color="BFB5A5"/>
          <w:insideV w:val="single" w:sz="4" w:space="0" w:color="BFB5A5"/>
        </w:tblBorders>
      </w:tblPr>
      <w:tblGrid>
        <w:gridCol w:w="4677"/>
        <w:gridCol w:w="4677"/>
      </w:tblGrid>
      <w:tr>
        <w:tc>
          <w:tcPr>
            <w:tcW w:type="dxa" w:w="6236"/>
            <w:shd w:val="clear" w:color="auto" w:fill="ECE6DC"/>
          </w:tcPr>
          <w:p>
            <w:r>
              <w:rPr>
                <w:b/>
                <w:sz w:val="20"/>
              </w:rPr>
              <w:t>Показатель</w:t>
            </w:r>
          </w:p>
        </w:tc>
        <w:tc>
          <w:tcPr>
            <w:tcW w:type="dxa" w:w="3118"/>
            <w:shd w:val="clear" w:color="auto" w:fill="ECE6DC"/>
          </w:tcPr>
          <w:p>
            <w:r>
              <w:rPr>
                <w:b/>
                <w:sz w:val="20"/>
              </w:rPr>
              <w:t>Норматив</w:t>
            </w:r>
          </w:p>
        </w:tc>
      </w:tr>
      <w:tr>
        <w:tc>
          <w:tcPr>
            <w:tcW w:type="dxa" w:w="6236"/>
          </w:tcPr>
          <w:p>
            <w:r>
              <w:rPr>
                <w:sz w:val="20"/>
              </w:rPr>
              <w:t>Рост цены: котлован → каркас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+4%</w:t>
            </w:r>
          </w:p>
        </w:tc>
      </w:tr>
      <w:tr>
        <w:tc>
          <w:tcPr>
            <w:tcW w:type="dxa" w:w="6236"/>
          </w:tcPr>
          <w:p>
            <w:r>
              <w:rPr>
                <w:sz w:val="20"/>
              </w:rPr>
              <w:t>Рост цены: каркас → фасад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+4%</w:t>
            </w:r>
          </w:p>
        </w:tc>
      </w:tr>
      <w:tr>
        <w:tc>
          <w:tcPr>
            <w:tcW w:type="dxa" w:w="6236"/>
          </w:tcPr>
          <w:p>
            <w:r>
              <w:rPr>
                <w:sz w:val="20"/>
              </w:rPr>
              <w:t>Рост цены: фасад → ввод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+5%</w:t>
            </w:r>
          </w:p>
        </w:tc>
      </w:tr>
    </w:tbl>
    <w:p/>
    <w:p>
      <w:pPr>
        <w:pStyle w:val="Heading1"/>
      </w:pPr>
      <w:r>
        <w:t>4. Скидки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FB5A5"/>
          <w:left w:val="single" w:sz="4" w:space="0" w:color="BFB5A5"/>
          <w:bottom w:val="single" w:sz="4" w:space="0" w:color="BFB5A5"/>
          <w:right w:val="single" w:sz="4" w:space="0" w:color="BFB5A5"/>
          <w:insideH w:val="single" w:sz="4" w:space="0" w:color="BFB5A5"/>
          <w:insideV w:val="single" w:sz="4" w:space="0" w:color="BFB5A5"/>
        </w:tblBorders>
      </w:tblPr>
      <w:tblGrid>
        <w:gridCol w:w="4677"/>
        <w:gridCol w:w="4677"/>
      </w:tblGrid>
      <w:tr>
        <w:tc>
          <w:tcPr>
            <w:tcW w:type="dxa" w:w="6236"/>
            <w:shd w:val="clear" w:color="auto" w:fill="ECE6DC"/>
          </w:tcPr>
          <w:p>
            <w:r>
              <w:rPr>
                <w:b/>
                <w:sz w:val="20"/>
              </w:rPr>
              <w:t>Показатель</w:t>
            </w:r>
          </w:p>
        </w:tc>
        <w:tc>
          <w:tcPr>
            <w:tcW w:type="dxa" w:w="3118"/>
            <w:shd w:val="clear" w:color="auto" w:fill="ECE6DC"/>
          </w:tcPr>
          <w:p>
            <w:r>
              <w:rPr>
                <w:b/>
                <w:sz w:val="20"/>
              </w:rPr>
              <w:t>Норматив</w:t>
            </w:r>
          </w:p>
        </w:tc>
      </w:tr>
      <w:tr>
        <w:tc>
          <w:tcPr>
            <w:tcW w:type="dxa" w:w="6236"/>
          </w:tcPr>
          <w:p>
            <w:r>
              <w:rPr>
                <w:sz w:val="20"/>
              </w:rPr>
              <w:t>100% оплата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−5%</w:t>
            </w:r>
          </w:p>
        </w:tc>
      </w:tr>
      <w:tr>
        <w:tc>
          <w:tcPr>
            <w:tcW w:type="dxa" w:w="6236"/>
          </w:tcPr>
          <w:p>
            <w:r>
              <w:rPr>
                <w:sz w:val="20"/>
              </w:rPr>
              <w:t>Пакет с машино-местом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−2%</w:t>
            </w:r>
          </w:p>
        </w:tc>
      </w:tr>
      <w:tr>
        <w:tc>
          <w:tcPr>
            <w:tcW w:type="dxa" w:w="6236"/>
          </w:tcPr>
          <w:p>
            <w:r>
              <w:rPr>
                <w:sz w:val="20"/>
              </w:rPr>
              <w:t>Объединение лотов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−3%</w:t>
            </w:r>
          </w:p>
        </w:tc>
      </w:tr>
      <w:tr>
        <w:tc>
          <w:tcPr>
            <w:tcW w:type="dxa" w:w="6236"/>
          </w:tcPr>
          <w:p>
            <w:r>
              <w:rPr>
                <w:sz w:val="20"/>
              </w:rPr>
              <w:t>Суммарная скидка без согласования CEO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не более −8%</w:t>
            </w:r>
          </w:p>
        </w:tc>
      </w:tr>
      <w:tr>
        <w:tc>
          <w:tcPr>
            <w:tcW w:type="dxa" w:w="6236"/>
          </w:tcPr>
          <w:p>
            <w:r>
              <w:rPr>
                <w:sz w:val="20"/>
              </w:rPr>
              <w:t>Цена ниже −10% от прайса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запрещено</w:t>
            </w:r>
          </w:p>
        </w:tc>
      </w:tr>
    </w:tbl>
    <w:p/>
    <w:p>
      <w:pPr>
        <w:pStyle w:val="Heading1"/>
      </w:pPr>
      <w:r>
        <w:t>5. Брокерское вознаграждение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FB5A5"/>
          <w:left w:val="single" w:sz="4" w:space="0" w:color="BFB5A5"/>
          <w:bottom w:val="single" w:sz="4" w:space="0" w:color="BFB5A5"/>
          <w:right w:val="single" w:sz="4" w:space="0" w:color="BFB5A5"/>
          <w:insideH w:val="single" w:sz="4" w:space="0" w:color="BFB5A5"/>
          <w:insideV w:val="single" w:sz="4" w:space="0" w:color="BFB5A5"/>
        </w:tblBorders>
      </w:tblPr>
      <w:tblGrid>
        <w:gridCol w:w="4677"/>
        <w:gridCol w:w="4677"/>
      </w:tblGrid>
      <w:tr>
        <w:tc>
          <w:tcPr>
            <w:tcW w:type="dxa" w:w="6236"/>
            <w:shd w:val="clear" w:color="auto" w:fill="ECE6DC"/>
          </w:tcPr>
          <w:p>
            <w:r>
              <w:rPr>
                <w:b/>
                <w:sz w:val="20"/>
              </w:rPr>
              <w:t>Показатель</w:t>
            </w:r>
          </w:p>
        </w:tc>
        <w:tc>
          <w:tcPr>
            <w:tcW w:type="dxa" w:w="3118"/>
            <w:shd w:val="clear" w:color="auto" w:fill="ECE6DC"/>
          </w:tcPr>
          <w:p>
            <w:r>
              <w:rPr>
                <w:b/>
                <w:sz w:val="20"/>
              </w:rPr>
              <w:t>Норматив</w:t>
            </w:r>
          </w:p>
        </w:tc>
      </w:tr>
      <w:tr>
        <w:tc>
          <w:tcPr>
            <w:tcW w:type="dxa" w:w="6236"/>
          </w:tcPr>
          <w:p>
            <w:r>
              <w:rPr>
                <w:sz w:val="20"/>
              </w:rPr>
              <w:t>Брокерское вознаграждение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3% от цены лота</w:t>
            </w:r>
          </w:p>
        </w:tc>
      </w:tr>
      <w:tr>
        <w:tc>
          <w:tcPr>
            <w:tcW w:type="dxa" w:w="6236"/>
          </w:tcPr>
          <w:p>
            <w:r>
              <w:rPr>
                <w:sz w:val="20"/>
              </w:rPr>
              <w:t>Пентхаусы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до 4% — по решению CEO</w:t>
            </w:r>
          </w:p>
        </w:tc>
      </w:tr>
    </w:tbl>
    <w:p/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22201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22201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Georgia" w:hAnsi="Georgia" w:eastAsia="Georgia" w:cs="Georgia"/>
      <w:b/>
      <w:bCs/>
      <w:color w:val="22201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A27B4E"/>
      </w:pBdr>
      <w:spacing w:after="300" w:line="240" w:lineRule="auto"/>
      <w:contextualSpacing/>
    </w:pPr>
    <w:rPr>
      <w:rFonts w:ascii="Georgia" w:hAnsi="Georgia" w:eastAsia="Georgia" w:cs="Georgia"/>
      <w:color w:val="22201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eastAsia="Arial" w:cs="Arial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 w:cs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 w:cs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ФС-03 Ценообразование и скидочная политика</dc:title>
  <dc:subject/>
  <dc:creator>Эпиграф</dc:creator>
  <cp:keywords/>
  <dc:description/>
  <cp:lastModifiedBy>Эпиграф</cp:lastModifiedBy>
  <cp:revision>1</cp:revision>
  <dcterms:created xsi:type="dcterms:W3CDTF">2025-12-15T10:00:00Z</dcterms:created>
  <dcterms:modified xsi:type="dcterms:W3CDTF">2025-12-15T10:00:00Z</dcterms:modified>
  <cp:category/>
</cp:coreProperties>
</file>