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Чек-лист инвесткомитета (участок / проект)</w:t>
      </w:r>
    </w:p>
    <w:p>
      <w:r>
        <w:rPr/>
        <w:t>Эпиграф · ООО «Эпиграф Девелопмент» · внутренний стандарт</w:t>
      </w:r>
    </w:p>
    <w:p>
      <w:r>
        <w:rPr>
          <w:color w:val="808080"/>
          <w:sz w:val="18"/>
        </w:rPr>
        <w:t>Документ ФС-04 · Редакция 2 · Утверждён 2025 · Пересмотр — ежегодно</w:t>
      </w:r>
    </w:p>
    <w:p/>
    <w:p>
      <w:pPr>
        <w:pStyle w:val="Heading1"/>
      </w:pPr>
      <w:r>
        <w:t>1. Назначение</w:t>
      </w:r>
    </w:p>
    <w:p>
      <w:r>
        <w:rPr/>
        <w:t>Документ задаёт единый чек-лист решения инвесткомитета по участку и по проекту: go (берём) / условно (берём после доработки условий) / no-go (отказываемся). Чек-лист сводит вместе критерии отбора участков, экономику проекта (ФС-01), бюджетные нормативы (ФС-02), ценообразование (ФС-03) и риски договоров.</w:t>
      </w:r>
    </w:p>
    <w:p>
      <w:pPr>
        <w:pStyle w:val="Heading1"/>
      </w:pPr>
      <w:r>
        <w:t>2. Критерии по участку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B5A5"/>
          <w:left w:val="single" w:sz="4" w:space="0" w:color="BFB5A5"/>
          <w:bottom w:val="single" w:sz="4" w:space="0" w:color="BFB5A5"/>
          <w:right w:val="single" w:sz="4" w:space="0" w:color="BFB5A5"/>
          <w:insideH w:val="single" w:sz="4" w:space="0" w:color="BFB5A5"/>
          <w:insideV w:val="single" w:sz="4" w:space="0" w:color="BFB5A5"/>
        </w:tblBorders>
      </w:tblPr>
      <w:tblGrid>
        <w:gridCol w:w="3118"/>
        <w:gridCol w:w="3118"/>
        <w:gridCol w:w="3118"/>
      </w:tblGrid>
      <w:tr>
        <w:tc>
          <w:tcPr>
            <w:tcW w:type="dxa" w:w="2268"/>
            <w:shd w:val="clear" w:color="auto" w:fill="ECE6DC"/>
          </w:tcPr>
          <w:p>
            <w:r>
              <w:rPr>
                <w:b/>
                <w:sz w:val="18"/>
              </w:rPr>
              <w:t>Критерий</w:t>
            </w:r>
          </w:p>
        </w:tc>
        <w:tc>
          <w:tcPr>
            <w:tcW w:type="dxa" w:w="3515"/>
            <w:shd w:val="clear" w:color="auto" w:fill="ECE6DC"/>
          </w:tcPr>
          <w:p>
            <w:r>
              <w:rPr>
                <w:b/>
                <w:sz w:val="18"/>
              </w:rPr>
              <w:t>Норма</w:t>
            </w:r>
          </w:p>
        </w:tc>
        <w:tc>
          <w:tcPr>
            <w:tcW w:type="dxa" w:w="3572"/>
            <w:shd w:val="clear" w:color="auto" w:fill="ECE6DC"/>
          </w:tcPr>
          <w:p>
            <w:r>
              <w:rPr>
                <w:b/>
                <w:sz w:val="18"/>
              </w:rPr>
              <w:t>Минус / стоп-фактор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Локация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ЦАО или ЗАО/ЮЗАО внутри ТТК; исторический контекст — плюс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вне этой зоны — не рассматриваем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Площадь участка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0,2–1,5 га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вне диапазона — не соответствует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Допустимая наземная ГНС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5 000–25 000 м²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вне диапазона — не клубный формат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Цена за м² допустимой ГНС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≤ 400 000 ₽ (ЦАО); ≤ 280 000 ₽ (ЗАО/ЮЗАО)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выше порога — минус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Доля земли в прогнозной выручке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≤ 25% (ФС-02)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выше — условно, разобрать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ГПЗУ / ВРИ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жилой ВРИ или ППТ ≤ 12 мес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ППТ 12–18 мес — минус; &gt; 18 мес — стоп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Срок до РНС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≤ 18 мес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дольше — не соответствует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ОКН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допустимо при возможности приспособления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федеральный ОКН с запретом изменений — минус / стоп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Юридическая чистота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права подтверждены, выписка ЕГРН есть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споры о праве, аресты, банкротство собственника; нет цены или документов — стоп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Структура сделки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купля-продажа или СП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уступка требований — только с заключением юриста</w:t>
            </w:r>
          </w:p>
        </w:tc>
      </w:tr>
    </w:tbl>
    <w:p/>
    <w:p>
      <w:pPr>
        <w:pStyle w:val="Heading1"/>
      </w:pPr>
      <w:r>
        <w:t>3. Критерии по проекту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B5A5"/>
          <w:left w:val="single" w:sz="4" w:space="0" w:color="BFB5A5"/>
          <w:bottom w:val="single" w:sz="4" w:space="0" w:color="BFB5A5"/>
          <w:right w:val="single" w:sz="4" w:space="0" w:color="BFB5A5"/>
          <w:insideH w:val="single" w:sz="4" w:space="0" w:color="BFB5A5"/>
          <w:insideV w:val="single" w:sz="4" w:space="0" w:color="BFB5A5"/>
        </w:tblBorders>
      </w:tblPr>
      <w:tblGrid>
        <w:gridCol w:w="3118"/>
        <w:gridCol w:w="3118"/>
        <w:gridCol w:w="3118"/>
      </w:tblGrid>
      <w:tr>
        <w:tc>
          <w:tcPr>
            <w:tcW w:type="dxa" w:w="2268"/>
            <w:shd w:val="clear" w:color="auto" w:fill="ECE6DC"/>
          </w:tcPr>
          <w:p>
            <w:r>
              <w:rPr>
                <w:b/>
                <w:sz w:val="18"/>
              </w:rPr>
              <w:t>Критерий</w:t>
            </w:r>
          </w:p>
        </w:tc>
        <w:tc>
          <w:tcPr>
            <w:tcW w:type="dxa" w:w="3515"/>
            <w:shd w:val="clear" w:color="auto" w:fill="ECE6DC"/>
          </w:tcPr>
          <w:p>
            <w:r>
              <w:rPr>
                <w:b/>
                <w:sz w:val="18"/>
              </w:rPr>
              <w:t>Норма</w:t>
            </w:r>
          </w:p>
        </w:tc>
        <w:tc>
          <w:tcPr>
            <w:tcW w:type="dxa" w:w="3572"/>
            <w:shd w:val="clear" w:color="auto" w:fill="ECE6DC"/>
          </w:tcPr>
          <w:p>
            <w:r>
              <w:rPr>
                <w:b/>
                <w:sz w:val="18"/>
              </w:rPr>
              <w:t>Стоп-фактор / «условно»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Валовая маржа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≥ 25% (ФС-02)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стоп при &lt; 18% в базовом сценарии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IRR на собственный капитал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≥ 22% годовых (ФС-02)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ниже цели — условно, разобрать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Доля земли в выручке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≤ 25% (ФС-02)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выше — условно, разобрать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Прочие нормативы ФС-02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доли статей, резерв, собственные средства — в пределах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отклонение — условно, разобрать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Юридическая чистота и ОКН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как по участку (раздел 2)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как по участку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Сроки до РНС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≤ 18 мес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дольше — условно, разобрать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Риски договоров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цена, сроки, гарантии и ответственность сбалансированы</w:t>
            </w:r>
          </w:p>
        </w:tc>
        <w:tc>
          <w:tcPr>
            <w:tcW w:type="dxa" w:w="3572"/>
          </w:tcPr>
          <w:p>
            <w:r>
              <w:rPr>
                <w:sz w:val="18"/>
              </w:rPr>
              <w:t>индексация цены без потолка; гарантия подрядчика короче обязательств застройщика перед дольщиками — условно, разобрать</w:t>
            </w:r>
          </w:p>
        </w:tc>
      </w:tr>
    </w:tbl>
    <w:p/>
    <w:p>
      <w:pPr>
        <w:pStyle w:val="Heading1"/>
      </w:pPr>
      <w:r>
        <w:t>4. Порядок оценки</w:t>
      </w:r>
    </w:p>
    <w:p>
      <w:pPr>
        <w:pStyle w:val="ListBullet"/>
      </w:pPr>
      <w:r>
        <w:rPr/>
        <w:t>Отобрать участки по критериям: балл 1–10, топ-5 — на инвесткомитет.</w:t>
      </w:r>
    </w:p>
    <w:p>
      <w:pPr>
        <w:pStyle w:val="ListBullet"/>
      </w:pPr>
      <w:r>
        <w:rPr/>
        <w:t>Построить модель по ФС-01 с обязательной чувствительностью (цена −10%, ввод +6 мес, СМР +10%).</w:t>
      </w:r>
    </w:p>
    <w:p>
      <w:pPr>
        <w:pStyle w:val="ListBullet"/>
      </w:pPr>
      <w:r>
        <w:rPr/>
        <w:t>Проверить нормативы ФС-02 и цену по ФС-03.</w:t>
      </w:r>
    </w:p>
    <w:p>
      <w:pPr>
        <w:pStyle w:val="ListBullet"/>
      </w:pPr>
      <w:r>
        <w:rPr/>
        <w:t>Проверить договоры: цена и её изменение, аванс, сроки, гарантии, ответственность сторон.</w:t>
      </w:r>
    </w:p>
    <w:p>
      <w:pPr>
        <w:pStyle w:val="ListBullet"/>
      </w:pPr>
      <w:r>
        <w:rPr/>
        <w:t>Свести вывод go / условно / no-go с обоснованием по каждому критерию.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22201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2220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Georgia" w:hAnsi="Georgia" w:eastAsia="Georgia" w:cs="Georgia"/>
      <w:b/>
      <w:bCs/>
      <w:color w:val="22201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A27B4E"/>
      </w:pBdr>
      <w:spacing w:after="300" w:line="240" w:lineRule="auto"/>
      <w:contextualSpacing/>
    </w:pPr>
    <w:rPr>
      <w:rFonts w:ascii="Georgia" w:hAnsi="Georgia" w:eastAsia="Georgia" w:cs="Georgia"/>
      <w:color w:val="22201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ФС-04 Чек-лист инвесткомитета (участок / проект)</dc:title>
  <dc:subject/>
  <dc:creator>Эпиграф</dc:creator>
  <cp:keywords/>
  <dc:description/>
  <cp:lastModifiedBy>Эпиграф</cp:lastModifiedBy>
  <cp:revision>1</cp:revision>
  <dcterms:created xsi:type="dcterms:W3CDTF">2025-12-15T10:00:00Z</dcterms:created>
  <dcterms:modified xsi:type="dcterms:W3CDTF">2025-12-15T10:00:00Z</dcterms:modified>
  <cp:category/>
</cp:coreProperties>
</file>