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2817"/>
        </w:rPr>
        <w:t>Финансовая модель и юнит-экономика точки</w:t>
      </w:r>
    </w:p>
    <w:p>
      <w:r>
        <w:rPr>
          <w:i/>
        </w:rPr>
        <w:t>Кофейня «Ладья» · владелец Денис Лобанов · внутренний стандарт</w:t>
      </w:r>
    </w:p>
    <w:p>
      <w:r>
        <w:rPr>
          <w:i/>
          <w:color w:val="808080"/>
          <w:sz w:val="18"/>
        </w:rPr>
        <w:t>Документ ФС-01 · Редакция 1 · Утверждён 2025 · Пересмотр — ежегодно</w:t>
      </w:r>
    </w:p>
    <w:p/>
    <w:p>
      <w:pPr>
        <w:pStyle w:val="Heading1"/>
      </w:pPr>
      <w:r>
        <w:rPr>
          <w:color w:val="3D2817"/>
        </w:rPr>
        <w:t>1. Назначение</w:t>
      </w:r>
    </w:p>
    <w:p>
      <w:r>
        <w:t>Документ задаёт единый способ считать экономику кофейной точки «Ладья»: для оценки новых локаций, планирования открытия и контроля план/факт по действующим точкам.</w:t>
      </w:r>
    </w:p>
    <w:p>
      <w:pPr>
        <w:pStyle w:val="Heading1"/>
      </w:pPr>
      <w:r>
        <w:rPr>
          <w:color w:val="3D2817"/>
        </w:rPr>
        <w:t>2. Модель выручки</w:t>
      </w:r>
    </w:p>
    <w:p>
      <w:r>
        <w:t>Выручка точки за период = средний чек × число чеков в день × число рабочих дней.</w:t>
      </w:r>
    </w:p>
    <w:p>
      <w:pPr>
        <w:pStyle w:val="ListBullet"/>
      </w:pPr>
      <w:r>
        <w:t>Целевой средний чек — 320 ₽ (факт первой точки за 2024 г.).</w:t>
      </w:r>
    </w:p>
    <w:p>
      <w:pPr>
        <w:pStyle w:val="ListBullet"/>
      </w:pPr>
      <w:r>
        <w:t>Трафик зрелой точки — 180–260 чеков в день в зависимости от локации и сезона.</w:t>
      </w:r>
    </w:p>
    <w:p>
      <w:pPr>
        <w:pStyle w:val="ListBullet"/>
      </w:pPr>
      <w:r>
        <w:t>Выход на зрелый трафик — 4–6 месяцев с открытия (период раскрутки считать отдельно).</w:t>
      </w:r>
    </w:p>
    <w:p>
      <w:pPr>
        <w:pStyle w:val="Heading1"/>
      </w:pPr>
      <w:r>
        <w:rPr>
          <w:color w:val="3D2817"/>
        </w:rPr>
        <w:t>3. Структура себестоимости (COGS)</w:t>
      </w:r>
    </w:p>
    <w:p>
      <w:r>
        <w:t>В себестоимость продукта входят зерно, молоко и альтернативы, сиропы, стаканы и расходники. Целевой food cost — не выше 28% выручки (норматив см. ФС-02).</w:t>
      </w:r>
    </w:p>
    <w:p>
      <w:pPr>
        <w:pStyle w:val="Heading1"/>
      </w:pPr>
      <w:r>
        <w:rPr>
          <w:color w:val="3D2817"/>
        </w:rPr>
        <w:t>4. Контрибуционная маржа</w:t>
      </w:r>
    </w:p>
    <w:p>
      <w:r>
        <w:t>Контрибуция = Выручка − COGS − прочие переменные расходы. Целевая контрибуционная маржа — не ниже 45% выручки. Контрибуция покрывает постоянные расходы и формирует прибыль точки.</w:t>
      </w:r>
    </w:p>
    <w:p>
      <w:pPr>
        <w:pStyle w:val="Heading1"/>
      </w:pPr>
      <w:r>
        <w:rPr>
          <w:color w:val="3D2817"/>
        </w:rPr>
        <w:t>5. Постоянные расходы и EBITDA точки</w:t>
      </w:r>
    </w:p>
    <w:p>
      <w:r>
        <w:t>Постоянные: аренда, ФОТ с налогами, коммунальные, амортизация оборудования, маркетинг.</w:t>
      </w:r>
    </w:p>
    <w:p>
      <w:r>
        <w:t>EBITDA точки = Контрибуция − Постоянные расходы. Целевая EBITDA зрелой точки — не ниже 20% выручки.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