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2817"/>
        </w:rPr>
        <w:t>Бюджетные нормативы</w:t>
      </w:r>
    </w:p>
    <w:p>
      <w:r>
        <w:rPr>
          <w:i/>
        </w:rPr>
        <w:t>Кофейня «Ладья» · владелец Денис Лобанов · внутренний стандарт</w:t>
      </w:r>
    </w:p>
    <w:p>
      <w:r>
        <w:rPr>
          <w:i/>
          <w:color w:val="808080"/>
          <w:sz w:val="18"/>
        </w:rPr>
        <w:t>Документ ФС-02 · Редакция 1 · Утверждён 2025 · Пересмотр — ежегодно</w:t>
      </w:r>
    </w:p>
    <w:p/>
    <w:p>
      <w:pPr>
        <w:pStyle w:val="Heading1"/>
      </w:pPr>
      <w:r>
        <w:rPr>
          <w:color w:val="3D2817"/>
        </w:rPr>
        <w:t>1. Назначение</w:t>
      </w:r>
    </w:p>
    <w:p>
      <w:r>
        <w:t>Нормативы-ориентиры для план/факт анализа и финансовой оценки новых точек. Отклонение факта от норматива более чем на 5 процентных пунктов разбирается отдельно.</w:t>
      </w:r>
    </w:p>
    <w:p>
      <w:pPr>
        <w:pStyle w:val="Heading1"/>
      </w:pPr>
      <w:r>
        <w:rPr>
          <w:color w:val="3D2817"/>
        </w:rPr>
        <w:t>2. Нормативы доли в выручке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Food cost (себестоимость продукта)</w:t>
            </w:r>
          </w:p>
        </w:tc>
        <w:tc>
          <w:tcPr>
            <w:tcW w:type="dxa" w:w="4320"/>
          </w:tcPr>
          <w:p>
            <w:r>
              <w:t>≤ 28% выручки</w:t>
            </w:r>
          </w:p>
        </w:tc>
      </w:tr>
      <w:tr>
        <w:tc>
          <w:tcPr>
            <w:tcW w:type="dxa" w:w="4320"/>
          </w:tcPr>
          <w:p>
            <w:r>
              <w:t>Аренда</w:t>
            </w:r>
          </w:p>
        </w:tc>
        <w:tc>
          <w:tcPr>
            <w:tcW w:type="dxa" w:w="4320"/>
          </w:tcPr>
          <w:p>
            <w:r>
              <w:t>≤ 15% выручки (стоп-фактор при &gt; 18%)</w:t>
            </w:r>
          </w:p>
        </w:tc>
      </w:tr>
      <w:tr>
        <w:tc>
          <w:tcPr>
            <w:tcW w:type="dxa" w:w="4320"/>
          </w:tcPr>
          <w:p>
            <w:r>
              <w:t>ФОТ с налогами</w:t>
            </w:r>
          </w:p>
        </w:tc>
        <w:tc>
          <w:tcPr>
            <w:tcW w:type="dxa" w:w="4320"/>
          </w:tcPr>
          <w:p>
            <w:r>
              <w:t>22–25% выручки</w:t>
            </w:r>
          </w:p>
        </w:tc>
      </w:tr>
      <w:tr>
        <w:tc>
          <w:tcPr>
            <w:tcW w:type="dxa" w:w="4320"/>
          </w:tcPr>
          <w:p>
            <w:r>
              <w:t>Коммунальные услуги</w:t>
            </w:r>
          </w:p>
        </w:tc>
        <w:tc>
          <w:tcPr>
            <w:tcW w:type="dxa" w:w="4320"/>
          </w:tcPr>
          <w:p>
            <w:r>
              <w:t>≤ 4% выручки</w:t>
            </w:r>
          </w:p>
        </w:tc>
      </w:tr>
      <w:tr>
        <w:tc>
          <w:tcPr>
            <w:tcW w:type="dxa" w:w="4320"/>
          </w:tcPr>
          <w:p>
            <w:r>
              <w:t>Маркетинг</w:t>
            </w:r>
          </w:p>
        </w:tc>
        <w:tc>
          <w:tcPr>
            <w:tcW w:type="dxa" w:w="4320"/>
          </w:tcPr>
          <w:p>
            <w:r>
              <w:t>3–5% выручки</w:t>
            </w:r>
          </w:p>
        </w:tc>
      </w:tr>
      <w:tr>
        <w:tc>
          <w:tcPr>
            <w:tcW w:type="dxa" w:w="4320"/>
          </w:tcPr>
          <w:p>
            <w:r>
              <w:t>Целевая EBITDA (зрелая точка)</w:t>
            </w:r>
          </w:p>
        </w:tc>
        <w:tc>
          <w:tcPr>
            <w:tcW w:type="dxa" w:w="4320"/>
          </w:tcPr>
          <w:p>
            <w:r>
              <w:t>≥ 20% выручки</w:t>
            </w:r>
          </w:p>
        </w:tc>
      </w:tr>
    </w:tbl>
    <w:p>
      <w:pPr>
        <w:pStyle w:val="Heading1"/>
      </w:pPr>
      <w:r>
        <w:rPr>
          <w:color w:val="3D2817"/>
        </w:rPr>
        <w:t>3. Нормативы инвестиций и ликвидности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Норматив</w:t>
            </w:r>
          </w:p>
        </w:tc>
      </w:tr>
      <w:tr>
        <w:tc>
          <w:tcPr>
            <w:tcW w:type="dxa" w:w="4320"/>
          </w:tcPr>
          <w:p>
            <w:r>
              <w:t>CapEx на открытие точки</w:t>
            </w:r>
          </w:p>
        </w:tc>
        <w:tc>
          <w:tcPr>
            <w:tcW w:type="dxa" w:w="4320"/>
          </w:tcPr>
          <w:p>
            <w:r>
              <w:t>≤ 6 000 000 ₽</w:t>
            </w:r>
          </w:p>
        </w:tc>
      </w:tr>
      <w:tr>
        <w:tc>
          <w:tcPr>
            <w:tcW w:type="dxa" w:w="4320"/>
          </w:tcPr>
          <w:p>
            <w:r>
              <w:t>Окупаемость инвестиций в точку</w:t>
            </w:r>
          </w:p>
        </w:tc>
        <w:tc>
          <w:tcPr>
            <w:tcW w:type="dxa" w:w="4320"/>
          </w:tcPr>
          <w:p>
            <w:r>
              <w:t>≤ 18 месяцев</w:t>
            </w:r>
          </w:p>
        </w:tc>
      </w:tr>
      <w:tr>
        <w:tc>
          <w:tcPr>
            <w:tcW w:type="dxa" w:w="4320"/>
          </w:tcPr>
          <w:p>
            <w:r>
              <w:t>Выход на точку безубыточности</w:t>
            </w:r>
          </w:p>
        </w:tc>
        <w:tc>
          <w:tcPr>
            <w:tcW w:type="dxa" w:w="4320"/>
          </w:tcPr>
          <w:p>
            <w:r>
              <w:t>≤ 6 месяцев с открытия</w:t>
            </w:r>
          </w:p>
        </w:tc>
      </w:tr>
      <w:tr>
        <w:tc>
          <w:tcPr>
            <w:tcW w:type="dxa" w:w="4320"/>
          </w:tcPr>
          <w:p>
            <w:r>
              <w:t>Подушка ликвидности на старте</w:t>
            </w:r>
          </w:p>
        </w:tc>
        <w:tc>
          <w:tcPr>
            <w:tcW w:type="dxa" w:w="4320"/>
          </w:tcPr>
          <w:p>
            <w:r>
              <w:t>≥ 3 месяцев операционных расходов</w:t>
            </w:r>
          </w:p>
        </w:tc>
      </w:tr>
    </w:tbl>
    <w:p>
      <w:r>
        <w:t>Налоговый режим — ИП на УСН «доходы», ставка 7%. Учитывать при расчёте чистой прибыли.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