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3D2817"/>
        </w:rPr>
        <w:t>Чек-лист финансовой оценки новой точки</w:t>
      </w:r>
    </w:p>
    <w:p>
      <w:r>
        <w:rPr>
          <w:i/>
        </w:rPr>
        <w:t>Кофейня «Ладья» · владелец Денис Лобанов · внутренний стандарт</w:t>
      </w:r>
    </w:p>
    <w:p>
      <w:r>
        <w:rPr>
          <w:i/>
          <w:color w:val="808080"/>
          <w:sz w:val="18"/>
        </w:rPr>
        <w:t>Документ ФС-04 · Редакция 1 · Утверждён 2025 · Пересмотр — ежегодно</w:t>
      </w:r>
    </w:p>
    <w:p/>
    <w:p>
      <w:pPr>
        <w:pStyle w:val="Heading1"/>
      </w:pPr>
      <w:r>
        <w:rPr>
          <w:color w:val="3D2817"/>
        </w:rPr>
        <w:t>1. Назначение</w:t>
      </w:r>
    </w:p>
    <w:p>
      <w:r>
        <w:t>Единый набор финансовых критериев для решения об открытии точки на конкретной локации. Итог — go / условно / no-go.</w:t>
      </w:r>
    </w:p>
    <w:p>
      <w:pPr>
        <w:pStyle w:val="Heading1"/>
      </w:pPr>
      <w:r>
        <w:rPr>
          <w:color w:val="3D2817"/>
        </w:rPr>
        <w:t>2. Критерии (go / no-go)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Критерий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Порог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Стоп-фактор</w:t>
            </w:r>
          </w:p>
        </w:tc>
      </w:tr>
      <w:tr>
        <w:tc>
          <w:tcPr>
            <w:tcW w:type="dxa" w:w="2880"/>
          </w:tcPr>
          <w:p>
            <w:r>
              <w:t>Аренда к прогнозной выручке</w:t>
            </w:r>
          </w:p>
        </w:tc>
        <w:tc>
          <w:tcPr>
            <w:tcW w:type="dxa" w:w="2880"/>
          </w:tcPr>
          <w:p>
            <w:r>
              <w:t>≤ 15%</w:t>
            </w:r>
          </w:p>
        </w:tc>
        <w:tc>
          <w:tcPr>
            <w:tcW w:type="dxa" w:w="2880"/>
          </w:tcPr>
          <w:p>
            <w:r>
              <w:t>&gt; 18%</w:t>
            </w:r>
          </w:p>
        </w:tc>
      </w:tr>
      <w:tr>
        <w:tc>
          <w:tcPr>
            <w:tcW w:type="dxa" w:w="2880"/>
          </w:tcPr>
          <w:p>
            <w:r>
              <w:t>CapEx на открытие</w:t>
            </w:r>
          </w:p>
        </w:tc>
        <w:tc>
          <w:tcPr>
            <w:tcW w:type="dxa" w:w="2880"/>
          </w:tcPr>
          <w:p>
            <w:r>
              <w:t>≤ 6 000 000 ₽</w:t>
            </w:r>
          </w:p>
        </w:tc>
        <w:tc>
          <w:tcPr>
            <w:tcW w:type="dxa" w:w="2880"/>
          </w:tcPr>
          <w:p>
            <w:r>
              <w:t>&gt; бюджета без обоснования</w:t>
            </w:r>
          </w:p>
        </w:tc>
      </w:tr>
      <w:tr>
        <w:tc>
          <w:tcPr>
            <w:tcW w:type="dxa" w:w="2880"/>
          </w:tcPr>
          <w:p>
            <w:r>
              <w:t>Окупаемость</w:t>
            </w:r>
          </w:p>
        </w:tc>
        <w:tc>
          <w:tcPr>
            <w:tcW w:type="dxa" w:w="2880"/>
          </w:tcPr>
          <w:p>
            <w:r>
              <w:t>≤ 18 мес</w:t>
            </w:r>
          </w:p>
        </w:tc>
        <w:tc>
          <w:tcPr>
            <w:tcW w:type="dxa" w:w="2880"/>
          </w:tcPr>
          <w:p>
            <w:r>
              <w:t>&gt; 24 мес</w:t>
            </w:r>
          </w:p>
        </w:tc>
      </w:tr>
      <w:tr>
        <w:tc>
          <w:tcPr>
            <w:tcW w:type="dxa" w:w="2880"/>
          </w:tcPr>
          <w:p>
            <w:r>
              <w:t>Точка безубыточности</w:t>
            </w:r>
          </w:p>
        </w:tc>
        <w:tc>
          <w:tcPr>
            <w:tcW w:type="dxa" w:w="2880"/>
          </w:tcPr>
          <w:p>
            <w:r>
              <w:t>≤ 6 мес</w:t>
            </w:r>
          </w:p>
        </w:tc>
        <w:tc>
          <w:tcPr>
            <w:tcW w:type="dxa" w:w="2880"/>
          </w:tcPr>
          <w:p>
            <w:r>
              <w:t>&gt; 9 мес</w:t>
            </w:r>
          </w:p>
        </w:tc>
      </w:tr>
      <w:tr>
        <w:tc>
          <w:tcPr>
            <w:tcW w:type="dxa" w:w="2880"/>
          </w:tcPr>
          <w:p>
            <w:r>
              <w:t>Запас ликвидности</w:t>
            </w:r>
          </w:p>
        </w:tc>
        <w:tc>
          <w:tcPr>
            <w:tcW w:type="dxa" w:w="2880"/>
          </w:tcPr>
          <w:p>
            <w:r>
              <w:t>≥ 3 мес OpEx</w:t>
            </w:r>
          </w:p>
        </w:tc>
        <w:tc>
          <w:tcPr>
            <w:tcW w:type="dxa" w:w="2880"/>
          </w:tcPr>
          <w:p>
            <w:r>
              <w:t>&lt; 2 мес OpEx</w:t>
            </w:r>
          </w:p>
        </w:tc>
      </w:tr>
    </w:tbl>
    <w:p>
      <w:pPr>
        <w:pStyle w:val="Heading1"/>
      </w:pPr>
      <w:r>
        <w:rPr>
          <w:color w:val="3D2817"/>
        </w:rPr>
        <w:t>3. Порядок оценки</w:t>
      </w:r>
    </w:p>
    <w:p>
      <w:r>
        <w:t>1) Спрогнозировать выручку (трафик локации × средний чек 320 ₽ × рабочие дни). 2) Прогнать по нормативам ФС-02. 3) Свести в вывод go / условно / no-go с обоснованием.</w:t>
      </w:r>
    </w:p>
    <w:p>
      <w:r>
        <w:t>Прогноз и расчёт по каждой рассматриваемой локации сохранять отдельным документом и фиксировать вывод в базе знаний проекта.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