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9E" w:rsidRDefault="00D21DBC" w:rsidP="008A439E">
      <w:pPr>
        <w:pStyle w:val="11"/>
        <w:spacing w:line="240" w:lineRule="auto"/>
        <w:rPr>
          <w:b/>
          <w:lang w:val="ru-RU"/>
        </w:rPr>
      </w:pPr>
      <w:bookmarkStart w:id="0" w:name="_Toc437193029"/>
      <w:r>
        <w:rPr>
          <w:b/>
        </w:rPr>
        <w:t xml:space="preserve">Практическое занятие № </w:t>
      </w:r>
      <w:r>
        <w:rPr>
          <w:b/>
          <w:lang w:val="ru-RU"/>
        </w:rPr>
        <w:t>10</w:t>
      </w:r>
    </w:p>
    <w:p w:rsidR="00D21DBC" w:rsidRPr="00D21DBC" w:rsidRDefault="00D21DBC" w:rsidP="00D21DBC">
      <w:pPr>
        <w:rPr>
          <w:lang w:eastAsia="ru-RU"/>
        </w:rPr>
      </w:pPr>
    </w:p>
    <w:p w:rsidR="00700EA3" w:rsidRDefault="00CC20BF" w:rsidP="00700EA3">
      <w:pPr>
        <w:spacing w:after="0" w:line="240" w:lineRule="auto"/>
        <w:rPr>
          <w:rStyle w:val="13"/>
          <w:b/>
          <w:sz w:val="28"/>
          <w:szCs w:val="28"/>
        </w:rPr>
      </w:pPr>
      <w:r>
        <w:rPr>
          <w:rStyle w:val="13"/>
          <w:b/>
          <w:sz w:val="28"/>
          <w:szCs w:val="28"/>
        </w:rPr>
        <w:t xml:space="preserve">Тема: </w:t>
      </w:r>
      <w:r w:rsidR="00512AD3" w:rsidRPr="008B3853">
        <w:rPr>
          <w:rStyle w:val="13"/>
          <w:b/>
          <w:sz w:val="28"/>
          <w:szCs w:val="28"/>
        </w:rPr>
        <w:t>Исследование и разра</w:t>
      </w:r>
      <w:r w:rsidR="00512AD3" w:rsidRPr="008B3853">
        <w:rPr>
          <w:rStyle w:val="13"/>
          <w:b/>
          <w:sz w:val="28"/>
          <w:szCs w:val="28"/>
        </w:rPr>
        <w:softHyphen/>
        <w:t>ботка технологических схем сборки</w:t>
      </w:r>
    </w:p>
    <w:p w:rsidR="00512AD3" w:rsidRDefault="00700EA3" w:rsidP="00700EA3">
      <w:pPr>
        <w:spacing w:after="0" w:line="240" w:lineRule="auto"/>
        <w:rPr>
          <w:rStyle w:val="13"/>
          <w:b/>
          <w:sz w:val="28"/>
          <w:szCs w:val="28"/>
        </w:rPr>
      </w:pPr>
      <w:r>
        <w:rPr>
          <w:rStyle w:val="13"/>
          <w:b/>
          <w:sz w:val="28"/>
          <w:szCs w:val="28"/>
        </w:rPr>
        <w:t xml:space="preserve">           </w:t>
      </w:r>
      <w:r w:rsidR="00512AD3" w:rsidRPr="008B3853">
        <w:rPr>
          <w:rStyle w:val="13"/>
          <w:b/>
          <w:sz w:val="28"/>
          <w:szCs w:val="28"/>
        </w:rPr>
        <w:t xml:space="preserve"> электронных узлов ЭВС.</w:t>
      </w:r>
    </w:p>
    <w:p w:rsidR="00924B78" w:rsidRPr="008B3853" w:rsidRDefault="00924B78" w:rsidP="00700EA3">
      <w:pPr>
        <w:spacing w:after="0" w:line="240" w:lineRule="auto"/>
        <w:rPr>
          <w:rStyle w:val="13"/>
          <w:rFonts w:cs="Times New Roman"/>
          <w:b/>
          <w:sz w:val="28"/>
          <w:szCs w:val="28"/>
        </w:rPr>
      </w:pPr>
    </w:p>
    <w:p w:rsidR="002950AA" w:rsidRPr="00924B78" w:rsidRDefault="002950AA" w:rsidP="002950AA">
      <w:pPr>
        <w:rPr>
          <w:rStyle w:val="13"/>
          <w:rFonts w:cs="Times New Roman"/>
          <w:i/>
          <w:sz w:val="28"/>
          <w:szCs w:val="28"/>
        </w:rPr>
      </w:pPr>
      <w:r w:rsidRPr="00924B78">
        <w:rPr>
          <w:rStyle w:val="13"/>
          <w:i/>
          <w:sz w:val="28"/>
          <w:szCs w:val="28"/>
        </w:rPr>
        <w:t>Задание</w:t>
      </w:r>
    </w:p>
    <w:p w:rsidR="00512AD3" w:rsidRPr="00CC20BF" w:rsidRDefault="002950AA" w:rsidP="005A1D6D">
      <w:pPr>
        <w:ind w:firstLine="502"/>
        <w:rPr>
          <w:rStyle w:val="13"/>
          <w:sz w:val="28"/>
          <w:szCs w:val="28"/>
        </w:rPr>
      </w:pPr>
      <w:r w:rsidRPr="00CC20BF">
        <w:rPr>
          <w:rStyle w:val="13"/>
          <w:sz w:val="28"/>
          <w:szCs w:val="28"/>
        </w:rPr>
        <w:t>Разработать технологическую схему сборки платы и технологическую документацию</w:t>
      </w:r>
      <w:r w:rsidR="00512AD3" w:rsidRPr="00CC20BF">
        <w:rPr>
          <w:rStyle w:val="13"/>
          <w:sz w:val="28"/>
          <w:szCs w:val="28"/>
        </w:rPr>
        <w:t xml:space="preserve"> на сборку печатного модуля ЭВС по индивидуальному заданию.</w:t>
      </w:r>
    </w:p>
    <w:p w:rsidR="00CC20BF" w:rsidRPr="00924B78" w:rsidRDefault="00CC20BF" w:rsidP="00CC20BF">
      <w:pPr>
        <w:rPr>
          <w:rStyle w:val="13"/>
          <w:i/>
          <w:sz w:val="28"/>
          <w:szCs w:val="28"/>
        </w:rPr>
      </w:pPr>
      <w:r w:rsidRPr="00924B78">
        <w:rPr>
          <w:rStyle w:val="13"/>
          <w:i/>
          <w:sz w:val="28"/>
          <w:szCs w:val="28"/>
        </w:rPr>
        <w:t>Теоретические сведения</w:t>
      </w:r>
    </w:p>
    <w:p w:rsidR="00577891" w:rsidRPr="006757DC" w:rsidRDefault="00577891" w:rsidP="0057789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7DC">
        <w:rPr>
          <w:rFonts w:ascii="Times New Roman" w:eastAsia="Calibri" w:hAnsi="Times New Roman" w:cs="Times New Roman"/>
          <w:sz w:val="28"/>
          <w:szCs w:val="28"/>
        </w:rPr>
        <w:t xml:space="preserve">Технологический процесс сборки — совокупность операций, в результате которых детали соединяются в сборочные единицы, блоки, стойки, системы и изделия. </w:t>
      </w:r>
    </w:p>
    <w:p w:rsidR="00577891" w:rsidRPr="006757DC" w:rsidRDefault="00577891" w:rsidP="00577891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>Техн</w:t>
      </w:r>
      <w:r w:rsidR="007D3722">
        <w:rPr>
          <w:rFonts w:ascii="Times New Roman" w:hAnsi="Times New Roman" w:cs="Times New Roman"/>
          <w:sz w:val="28"/>
          <w:szCs w:val="28"/>
        </w:rPr>
        <w:t>ологическая схема сборки электронного средства</w:t>
      </w:r>
      <w:r w:rsidRPr="006757DC">
        <w:rPr>
          <w:rFonts w:ascii="Times New Roman" w:hAnsi="Times New Roman" w:cs="Times New Roman"/>
          <w:sz w:val="28"/>
          <w:szCs w:val="28"/>
        </w:rPr>
        <w:t xml:space="preserve"> является одним из основных документов, составляемых при разработке технологического процесса сборки. </w:t>
      </w:r>
      <w:r>
        <w:rPr>
          <w:rFonts w:ascii="Times New Roman" w:hAnsi="Times New Roman" w:cs="Times New Roman"/>
          <w:sz w:val="28"/>
          <w:szCs w:val="28"/>
        </w:rPr>
        <w:t>Определение составных частей на сборочные элементы выполняется</w:t>
      </w:r>
      <w:r w:rsidRPr="006757DC">
        <w:rPr>
          <w:rFonts w:ascii="Times New Roman" w:hAnsi="Times New Roman" w:cs="Times New Roman"/>
          <w:sz w:val="28"/>
          <w:szCs w:val="28"/>
        </w:rPr>
        <w:t xml:space="preserve"> в соответствии со схемой сборочного состава, при разработке которой руководствуются следующими принципами:</w:t>
      </w:r>
    </w:p>
    <w:p w:rsidR="00577891" w:rsidRPr="006757DC" w:rsidRDefault="00577891" w:rsidP="00577891">
      <w:pPr>
        <w:tabs>
          <w:tab w:val="left" w:pos="142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схема составляется независимо от программы выпуска изделия на основе сборочных чертежей, электрической и кинематической схем изделия;</w:t>
      </w:r>
    </w:p>
    <w:p w:rsidR="00577891" w:rsidRPr="006757DC" w:rsidRDefault="00577891" w:rsidP="00577891">
      <w:pPr>
        <w:tabs>
          <w:tab w:val="left" w:pos="142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сборочные единицы образуются при условии независимости их сборки, транспортировки и контроля;</w:t>
      </w:r>
    </w:p>
    <w:p w:rsidR="00577891" w:rsidRPr="006757DC" w:rsidRDefault="00577891" w:rsidP="00577891">
      <w:pPr>
        <w:tabs>
          <w:tab w:val="left" w:pos="142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минимальное число деталей, необходимое для образования сборочной единицы первой ступени сборки, должно быть равно двум;</w:t>
      </w:r>
    </w:p>
    <w:p w:rsidR="00577891" w:rsidRPr="006757DC" w:rsidRDefault="00577891" w:rsidP="00577891">
      <w:pPr>
        <w:tabs>
          <w:tab w:val="left" w:pos="142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минимальное число деталей, присоединяемых к сборочной единице данной группы для образования сборочного элемента следующей ступени, должно быть равно единице;</w:t>
      </w:r>
    </w:p>
    <w:p w:rsidR="00577891" w:rsidRPr="006757DC" w:rsidRDefault="00577891" w:rsidP="00577891">
      <w:pPr>
        <w:tabs>
          <w:tab w:val="left" w:pos="142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схема сборочного состава строится при условии образования наибольшего числа сборочных единиц;</w:t>
      </w:r>
    </w:p>
    <w:p w:rsidR="00577891" w:rsidRPr="006757DC" w:rsidRDefault="00577891" w:rsidP="00577891">
      <w:pPr>
        <w:tabs>
          <w:tab w:val="left" w:pos="142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схема должна обладать свойством непрерывности, т.е. каждая последующая ступень сборки не может быть осуществлена без предыдущей.</w:t>
      </w:r>
    </w:p>
    <w:p w:rsidR="00577891" w:rsidRPr="006757DC" w:rsidRDefault="00577891" w:rsidP="00577891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>Правильно выбранная схема сборочного состава позволяет установить рациональный порядок комплектования сборочных единиц и изделий в процессе сборки. При переходе от схемы сборочного состава к технологической схеме сборки и расположении операций во времени необходимо учитывать:</w:t>
      </w:r>
    </w:p>
    <w:p w:rsidR="00577891" w:rsidRPr="006757DC" w:rsidRDefault="00577891" w:rsidP="00577891">
      <w:pPr>
        <w:tabs>
          <w:tab w:val="left" w:pos="0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сначала выполняют те операции технологического процесса, которые требуют больших механических усилий и неразъемных соединений;</w:t>
      </w:r>
    </w:p>
    <w:p w:rsidR="00577891" w:rsidRPr="006757DC" w:rsidRDefault="00577891" w:rsidP="00577891">
      <w:pPr>
        <w:tabs>
          <w:tab w:val="left" w:pos="0"/>
          <w:tab w:val="left" w:pos="607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активные ИЭТ</w:t>
      </w:r>
      <w:r w:rsidRPr="006757DC">
        <w:rPr>
          <w:rFonts w:ascii="Times New Roman" w:hAnsi="Times New Roman" w:cs="Times New Roman"/>
          <w:sz w:val="28"/>
          <w:szCs w:val="28"/>
        </w:rPr>
        <w:t xml:space="preserve"> устанавливают после пассивных;</w:t>
      </w:r>
    </w:p>
    <w:p w:rsidR="00577891" w:rsidRPr="006757DC" w:rsidRDefault="00577891" w:rsidP="00577891">
      <w:pPr>
        <w:tabs>
          <w:tab w:val="left" w:pos="0"/>
          <w:tab w:val="left" w:pos="607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/>
          <w:sz w:val="28"/>
          <w:szCs w:val="29"/>
        </w:rPr>
        <w:t xml:space="preserve">– </w:t>
      </w:r>
      <w:r w:rsidRPr="006757DC">
        <w:rPr>
          <w:rFonts w:ascii="Times New Roman" w:hAnsi="Times New Roman" w:cs="Times New Roman"/>
          <w:sz w:val="28"/>
          <w:szCs w:val="28"/>
        </w:rPr>
        <w:t>при наличии малог</w:t>
      </w:r>
      <w:r>
        <w:rPr>
          <w:rFonts w:ascii="Times New Roman" w:hAnsi="Times New Roman" w:cs="Times New Roman"/>
          <w:sz w:val="28"/>
          <w:szCs w:val="28"/>
        </w:rPr>
        <w:t>абаритных и крупногабаритных ИЭТ</w:t>
      </w:r>
      <w:r w:rsidRPr="006757DC">
        <w:rPr>
          <w:rFonts w:ascii="Times New Roman" w:hAnsi="Times New Roman" w:cs="Times New Roman"/>
          <w:sz w:val="28"/>
          <w:szCs w:val="28"/>
        </w:rPr>
        <w:t xml:space="preserve"> в первую очередь собираются малогабаритные;</w:t>
      </w:r>
    </w:p>
    <w:p w:rsidR="00E7508E" w:rsidRDefault="00577891" w:rsidP="00577891">
      <w:pPr>
        <w:tabs>
          <w:tab w:val="left" w:pos="0"/>
          <w:tab w:val="left" w:pos="603"/>
        </w:tabs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lastRenderedPageBreak/>
        <w:t xml:space="preserve">–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заканчивается сборочный процесс установкой деталей подвижных соединений 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ИЭТ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которые используются в дальнейшем для регулировки;</w:t>
      </w:r>
    </w:p>
    <w:p w:rsidR="00577891" w:rsidRPr="006757DC" w:rsidRDefault="00577891" w:rsidP="00577891">
      <w:pPr>
        <w:tabs>
          <w:tab w:val="left" w:pos="0"/>
          <w:tab w:val="left" w:pos="603"/>
        </w:tabs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–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контрольные операции входят в технологический процесс после наиболее сложных сборочных операций и при наличии законченного сборочного элемента;</w:t>
      </w:r>
    </w:p>
    <w:p w:rsidR="00577891" w:rsidRPr="006757DC" w:rsidRDefault="00577891" w:rsidP="00577891">
      <w:pPr>
        <w:tabs>
          <w:tab w:val="left" w:pos="0"/>
          <w:tab w:val="left" w:pos="603"/>
        </w:tabs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–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маршрутный технологический процесс входят также те операции, которые непосредственно не вытекают из схемы сборочного состава, но их необходимость определяется технологическими требованиями к сборочным единицам.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Сх</w:t>
      </w:r>
      <w:bookmarkStart w:id="1" w:name="OCRUncertain884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bookmarkEnd w:id="1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ма сборки с базовой деталью указыва</w:t>
      </w:r>
      <w:bookmarkStart w:id="2" w:name="OCRUncertain885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bookmarkEnd w:id="2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 </w:t>
      </w:r>
      <w:bookmarkStart w:id="3" w:name="OCRUncertain886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временную последовательность</w:t>
      </w:r>
      <w:bookmarkEnd w:id="3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сборочного процесса. При такой </w:t>
      </w:r>
      <w:bookmarkStart w:id="4" w:name="OCRUncertain887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</w:t>
      </w:r>
      <w:bookmarkEnd w:id="4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борке необходимо </w:t>
      </w:r>
      <w:bookmarkStart w:id="5" w:name="OCRUncertain888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выделить базовый </w:t>
      </w:r>
      <w:bookmarkEnd w:id="5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элемент, т.е. базовую деталь ил</w:t>
      </w:r>
      <w:bookmarkStart w:id="6" w:name="OCRUncertain889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bookmarkEnd w:id="6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сборочную единицу. В качестве </w:t>
      </w:r>
      <w:bookmarkStart w:id="7" w:name="OCRUncertain890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базо</w:t>
      </w:r>
      <w:bookmarkEnd w:id="7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вой выбирают ту деталь, поверхности которой буду</w:t>
      </w:r>
      <w:bookmarkStart w:id="8" w:name="OCRUncertain891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</w:t>
      </w:r>
      <w:bookmarkEnd w:id="8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впоследствии исп</w:t>
      </w:r>
      <w:bookmarkStart w:id="9" w:name="OCRUncertain892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ол</w:t>
      </w:r>
      <w:bookmarkEnd w:id="9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ьзованы </w:t>
      </w:r>
      <w:bookmarkStart w:id="10" w:name="OCRUncertain893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 установке в </w:t>
      </w:r>
      <w:bookmarkEnd w:id="10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готовое изделие. В большинстве случаев базовой деталью служит </w:t>
      </w:r>
      <w:bookmarkStart w:id="11" w:name="OCRUncertain894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плата, панель, </w:t>
      </w:r>
      <w:bookmarkEnd w:id="11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шасси и другие элементы несущих конструкций изделия. Направле</w:t>
      </w:r>
      <w:bookmarkStart w:id="12" w:name="OCRUncertain895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ние движения </w:t>
      </w:r>
      <w:bookmarkEnd w:id="12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деталей и сборочных единиц </w:t>
      </w:r>
      <w:bookmarkStart w:id="13" w:name="OCRUncertain896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</w:t>
      </w:r>
      <w:bookmarkEnd w:id="13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 схеме показывается стрелками, а </w:t>
      </w:r>
      <w:bookmarkStart w:id="14" w:name="OCRUncertain897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прямая линия, </w:t>
      </w:r>
      <w:bookmarkEnd w:id="14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соединяющая базовую деталь и изделие, называется глав</w:t>
      </w:r>
      <w:bookmarkStart w:id="15" w:name="OCRUncertain898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ной осью сборки</w:t>
      </w:r>
      <w:bookmarkEnd w:id="15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Точки пересечения осей сборки, в которые подаются детали или </w:t>
      </w:r>
      <w:bookmarkStart w:id="16" w:name="OCRUncertain899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сборочные единицы, </w:t>
      </w:r>
      <w:bookmarkEnd w:id="16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обозначаются как элементы сбороч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ных операций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Разработке технологических схем сборки способствует оптимальная дифференциация работ, что значительно сокращает длительность производственного цикла. Рациональность разделения объема работ на операции в условиях автоматизированного поточного производства определяется ритмом сборки, т.е. каждая операция должна быть равна или кратна ритму: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7D3722" w:rsidRDefault="007D3722" w:rsidP="00577891">
      <w:pPr>
        <w:widowControl w:val="0"/>
        <w:spacing w:after="0" w:line="240" w:lineRule="auto"/>
        <w:ind w:firstLine="2880"/>
        <w:contextualSpacing/>
        <w:rPr>
          <w:rFonts w:ascii="Times New Roman" w:eastAsia="Times New Roman" w:hAnsi="Times New Roman" w:cs="Times New Roman"/>
          <w:snapToGrid w:val="0"/>
          <w:sz w:val="40"/>
          <w:szCs w:val="40"/>
          <w:lang w:eastAsia="ru-RU"/>
        </w:rPr>
      </w:pPr>
      <w:r w:rsidRPr="007D3722">
        <w:rPr>
          <w:rFonts w:ascii="Times New Roman" w:eastAsia="Times New Roman" w:hAnsi="Times New Roman" w:cs="Times New Roman"/>
          <w:snapToGrid w:val="0"/>
          <w:position w:val="-24"/>
          <w:sz w:val="40"/>
          <w:szCs w:val="40"/>
          <w:lang w:eastAsia="ru-RU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37.6pt" o:ole="" fillcolor="window">
            <v:imagedata r:id="rId5" o:title=""/>
          </v:shape>
          <o:OLEObject Type="Embed" ProgID="Equation.DSMT4" ShapeID="_x0000_i1025" DrawAspect="Content" ObjectID="_1599083548" r:id="rId6"/>
        </w:object>
      </w:r>
      <w:r w:rsidR="00577891" w:rsidRPr="007D372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мин</w:t>
      </w:r>
      <w:r w:rsidR="00577891" w:rsidRPr="007D372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/</w:t>
      </w:r>
      <w:r w:rsidR="00577891" w:rsidRPr="007D372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шт</w:t>
      </w:r>
      <w:r w:rsidR="00577891" w:rsidRPr="007D3722">
        <w:rPr>
          <w:rFonts w:ascii="Times New Roman" w:eastAsia="Times New Roman" w:hAnsi="Times New Roman" w:cs="Times New Roman"/>
          <w:snapToGrid w:val="0"/>
          <w:sz w:val="40"/>
          <w:szCs w:val="40"/>
          <w:lang w:eastAsia="ru-RU"/>
        </w:rPr>
        <w:t xml:space="preserve">.,                               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2880"/>
        <w:contextualSpacing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где Ф</w:t>
      </w:r>
      <w:r w:rsidRPr="007D3722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eastAsia="ru-RU"/>
        </w:rPr>
        <w:t>д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—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действительный фонд времени за плановый период;</w:t>
      </w:r>
    </w:p>
    <w:p w:rsidR="00577891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 xml:space="preserve">       </w:t>
      </w:r>
      <w:r w:rsidR="00577891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N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рограмма</w:t>
      </w:r>
      <w:proofErr w:type="gramEnd"/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выпуска (шт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/год)</w:t>
      </w:r>
    </w:p>
    <w:p w:rsidR="007D3722" w:rsidRDefault="007D3722" w:rsidP="007D372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577891" w:rsidRDefault="00577891" w:rsidP="007D372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7891">
        <w:rPr>
          <w:rFonts w:ascii="Times New Roman" w:hAnsi="Times New Roman" w:cs="Times New Roman"/>
          <w:i/>
          <w:sz w:val="28"/>
          <w:szCs w:val="28"/>
        </w:rPr>
        <w:t>Действительный фонд времени:</w:t>
      </w:r>
    </w:p>
    <w:p w:rsidR="00577891" w:rsidRPr="006757DC" w:rsidRDefault="00577891" w:rsidP="00577891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7891" w:rsidRPr="006757DC" w:rsidRDefault="00577891" w:rsidP="0057789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7D3722">
        <w:rPr>
          <w:rFonts w:ascii="Times New Roman" w:hAnsi="Times New Roman" w:cs="Times New Roman"/>
          <w:sz w:val="28"/>
          <w:szCs w:val="28"/>
        </w:rPr>
        <w:t xml:space="preserve">                           Ф</w:t>
      </w:r>
      <w:r w:rsidR="002C5EAB" w:rsidRPr="002C5EAB">
        <w:rPr>
          <w:rFonts w:ascii="Times New Roman" w:hAnsi="Times New Roman" w:cs="Times New Roman"/>
        </w:rPr>
        <w:t>д</w:t>
      </w:r>
      <w:r w:rsidRPr="007D3722">
        <w:rPr>
          <w:rFonts w:ascii="Times New Roman" w:hAnsi="Times New Roman" w:cs="Times New Roman"/>
          <w:sz w:val="28"/>
          <w:szCs w:val="28"/>
        </w:rPr>
        <w:t xml:space="preserve"> = Д ∙ </w:t>
      </w:r>
      <w:r w:rsidRPr="007D37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722">
        <w:rPr>
          <w:rFonts w:ascii="Times New Roman" w:hAnsi="Times New Roman" w:cs="Times New Roman"/>
          <w:sz w:val="28"/>
          <w:szCs w:val="28"/>
        </w:rPr>
        <w:t xml:space="preserve"> ∙ </w:t>
      </w:r>
      <w:r w:rsidRPr="007D37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3722">
        <w:rPr>
          <w:rFonts w:ascii="Times New Roman" w:hAnsi="Times New Roman" w:cs="Times New Roman"/>
          <w:sz w:val="28"/>
          <w:szCs w:val="28"/>
        </w:rPr>
        <w:t xml:space="preserve"> ∙ 60 ∙ </w:t>
      </w:r>
      <w:proofErr w:type="spellStart"/>
      <w:r w:rsidRPr="007D3722">
        <w:rPr>
          <w:rFonts w:ascii="Times New Roman" w:hAnsi="Times New Roman" w:cs="Times New Roman"/>
          <w:sz w:val="28"/>
          <w:szCs w:val="28"/>
        </w:rPr>
        <w:t>К</w:t>
      </w:r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рег</w:t>
      </w:r>
      <w:proofErr w:type="gramStart"/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.п</w:t>
      </w:r>
      <w:proofErr w:type="gramEnd"/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ер</w:t>
      </w:r>
      <w:proofErr w:type="spellEnd"/>
      <w:r w:rsidRPr="007D3722">
        <w:rPr>
          <w:rFonts w:ascii="Times New Roman" w:hAnsi="Times New Roman" w:cs="Times New Roman"/>
          <w:sz w:val="28"/>
          <w:szCs w:val="28"/>
        </w:rPr>
        <w:t>,</w:t>
      </w:r>
      <w:r w:rsidRPr="00200C7F">
        <w:rPr>
          <w:rFonts w:ascii="Times New Roman" w:hAnsi="Times New Roman" w:cs="Times New Roman"/>
          <w:sz w:val="36"/>
          <w:szCs w:val="36"/>
        </w:rPr>
        <w:t xml:space="preserve"> </w:t>
      </w:r>
      <w:r w:rsidRPr="007D3722">
        <w:rPr>
          <w:rFonts w:ascii="Times New Roman" w:hAnsi="Times New Roman" w:cs="Times New Roman"/>
          <w:sz w:val="24"/>
          <w:szCs w:val="24"/>
        </w:rPr>
        <w:t>мин</w:t>
      </w:r>
      <w:r w:rsidR="00061A74" w:rsidRPr="006757DC">
        <w:rPr>
          <w:rFonts w:ascii="Times New Roman" w:hAnsi="Times New Roman" w:cs="Times New Roman"/>
          <w:sz w:val="28"/>
          <w:szCs w:val="28"/>
        </w:rPr>
        <w:fldChar w:fldCharType="begin"/>
      </w:r>
      <w:r w:rsidRPr="006757DC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Ф=Д×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×60×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рег.пер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мин</m:t>
        </m:r>
      </m:oMath>
      <w:r w:rsidRPr="006757D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61A74" w:rsidRPr="006757DC">
        <w:rPr>
          <w:rFonts w:ascii="Times New Roman" w:hAnsi="Times New Roman" w:cs="Times New Roman"/>
          <w:sz w:val="28"/>
          <w:szCs w:val="28"/>
        </w:rPr>
        <w:fldChar w:fldCharType="end"/>
      </w:r>
      <w:r w:rsidRPr="006757DC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577891" w:rsidRPr="006757DC" w:rsidRDefault="00577891" w:rsidP="00577891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где</w:t>
      </w:r>
      <w:r w:rsidRPr="006757DC">
        <w:rPr>
          <w:rFonts w:ascii="Times New Roman" w:eastAsia="Calibri" w:hAnsi="Times New Roman" w:cs="Times New Roman"/>
          <w:b/>
          <w:bCs/>
          <w:i/>
          <w:iCs/>
          <w:snapToGrid w:val="0"/>
          <w:spacing w:val="-10"/>
          <w:sz w:val="28"/>
          <w:szCs w:val="28"/>
          <w:shd w:val="clear" w:color="auto" w:fill="FFFFFF"/>
          <w:lang w:eastAsia="ru-RU"/>
        </w:rPr>
        <w:t xml:space="preserve"> </w:t>
      </w:r>
      <w:r w:rsidRPr="006757DC"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  <w:lang w:eastAsia="ru-RU"/>
        </w:rPr>
        <w:t>Д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количество рабочих дней в году</w:t>
      </w:r>
      <w:r w:rsidR="00E31BAC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:rsidR="00577891" w:rsidRPr="006757DC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</w:rPr>
        <w:t xml:space="preserve">       </w:t>
      </w:r>
      <w:r w:rsidR="00577891" w:rsidRPr="006757DC"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  <w:lang w:val="en-US"/>
        </w:rPr>
        <w:t>S</w:t>
      </w:r>
      <w:r w:rsidR="00577891" w:rsidRPr="006757DC"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</w:rPr>
        <w:t xml:space="preserve"> </w:t>
      </w:r>
      <w:r w:rsidR="00577891" w:rsidRPr="006757DC">
        <w:rPr>
          <w:rFonts w:ascii="Times New Roman" w:eastAsia="Calibri" w:hAnsi="Times New Roman" w:cs="Times New Roman"/>
          <w:b/>
          <w:bCs/>
          <w:i/>
          <w:iCs/>
          <w:snapToGrid w:val="0"/>
          <w:spacing w:val="-10"/>
          <w:sz w:val="28"/>
          <w:szCs w:val="28"/>
          <w:shd w:val="clear" w:color="auto" w:fill="FFFFFF"/>
          <w:lang w:eastAsia="ru-RU"/>
        </w:rPr>
        <w:t>-</w:t>
      </w:r>
      <w:r w:rsidR="002C5E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="002C5E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число</w:t>
      </w:r>
      <w:proofErr w:type="gramEnd"/>
      <w:r w:rsidR="002C5E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смен;</w:t>
      </w:r>
    </w:p>
    <w:p w:rsidR="00577891" w:rsidRPr="002C5EAB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napToGrid w:val="0"/>
          <w:spacing w:val="30"/>
          <w:sz w:val="28"/>
          <w:szCs w:val="28"/>
          <w:shd w:val="clear" w:color="auto" w:fill="FFFFFF"/>
          <w:lang w:eastAsia="ru-RU"/>
        </w:rPr>
        <w:t xml:space="preserve">    </w:t>
      </w:r>
      <w:r w:rsidR="00577891" w:rsidRPr="006757DC">
        <w:rPr>
          <w:rFonts w:ascii="Times New Roman" w:eastAsia="Times New Roman" w:hAnsi="Times New Roman" w:cs="Times New Roman"/>
          <w:bCs/>
          <w:i/>
          <w:iCs/>
          <w:snapToGrid w:val="0"/>
          <w:spacing w:val="30"/>
          <w:sz w:val="28"/>
          <w:szCs w:val="28"/>
          <w:shd w:val="clear" w:color="auto" w:fill="FFFFFF"/>
          <w:lang w:val="en-US" w:eastAsia="ru-RU"/>
        </w:rPr>
        <w:t>t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</w:t>
      </w:r>
      <w:proofErr w:type="gramStart"/>
      <w:r w:rsidR="006857F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продолжительность</w:t>
      </w:r>
      <w:proofErr w:type="gramEnd"/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рабочей смены</w:t>
      </w:r>
      <w:r w:rsidR="002C5EAB">
        <w:rPr>
          <w:rFonts w:ascii="Times New Roman" w:eastAsia="Times New Roman" w:hAnsi="Times New Roman" w:cs="Times New Roman"/>
          <w:bCs/>
          <w:iCs/>
          <w:snapToGrid w:val="0"/>
          <w:spacing w:val="30"/>
          <w:sz w:val="28"/>
          <w:szCs w:val="28"/>
          <w:shd w:val="clear" w:color="auto" w:fill="FFFFFF"/>
          <w:lang w:eastAsia="ru-RU"/>
        </w:rPr>
        <w:t>;</w:t>
      </w:r>
    </w:p>
    <w:p w:rsidR="00577891" w:rsidRPr="006757DC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</w:t>
      </w:r>
      <w:r w:rsidR="00577891" w:rsidRPr="007D3722">
        <w:rPr>
          <w:rFonts w:ascii="Times New Roman" w:eastAsia="Times New Roman" w:hAnsi="Times New Roman" w:cs="Times New Roman"/>
          <w:snapToGrid w:val="0"/>
          <w:sz w:val="36"/>
          <w:szCs w:val="36"/>
          <w:vertAlign w:val="subscript"/>
          <w:lang w:eastAsia="ru-RU"/>
        </w:rPr>
        <w:t>рег.пер</w:t>
      </w:r>
      <w:r w:rsidR="00577891" w:rsidRPr="00200C7F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eastAsia="ru-RU"/>
        </w:rPr>
        <w:t xml:space="preserve">.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коэффициент, учитывающий время регламентированных перерывов в работе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>(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0,94 - 0,95).</w:t>
      </w:r>
    </w:p>
    <w:p w:rsidR="00577891" w:rsidRPr="006757DC" w:rsidRDefault="00577891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Трудоемкость </w:t>
      </w:r>
      <w:proofErr w:type="spellStart"/>
      <w:r w:rsidRPr="006757D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757DC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757DC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 операции сборки определяется исходя из 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производительности оборудования, применяемого для выполнения операции, и количества собираемых элементов:                                       </w:t>
      </w:r>
    </w:p>
    <w:p w:rsidR="00577891" w:rsidRPr="006757DC" w:rsidRDefault="00577891" w:rsidP="00577891">
      <w:pPr>
        <w:tabs>
          <w:tab w:val="right" w:pos="9627"/>
        </w:tabs>
        <w:spacing w:after="0" w:line="240" w:lineRule="auto"/>
        <w:ind w:firstLine="297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C5EA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2C5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6757DC">
        <w:rPr>
          <w:rFonts w:ascii="Times New Roman" w:eastAsia="Arial Unicode MS" w:hAnsi="Times New Roman" w:cs="Times New Roman"/>
          <w:bCs/>
          <w:i/>
          <w:iCs/>
          <w:spacing w:val="30"/>
          <w:sz w:val="28"/>
          <w:szCs w:val="28"/>
          <w:shd w:val="clear" w:color="auto" w:fill="FFFFFF"/>
        </w:rPr>
        <w:t>n</w:t>
      </w:r>
      <w:proofErr w:type="spellEnd"/>
      <w:r w:rsidRPr="006757D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i/>
          <w:sz w:val="28"/>
          <w:szCs w:val="28"/>
        </w:rPr>
        <w:t>·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>60 / П (</w:t>
      </w:r>
      <w:r w:rsidRPr="002C5EAB">
        <w:rPr>
          <w:rFonts w:ascii="Times New Roman" w:eastAsia="Times New Roman" w:hAnsi="Times New Roman" w:cs="Times New Roman"/>
          <w:sz w:val="24"/>
          <w:szCs w:val="24"/>
        </w:rPr>
        <w:t>мин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),                                                </w:t>
      </w:r>
    </w:p>
    <w:p w:rsidR="00CA6606" w:rsidRDefault="00CA6606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где П </w:t>
      </w:r>
      <w:r w:rsidRPr="006757DC">
        <w:rPr>
          <w:rFonts w:ascii="Times New Roman" w:eastAsia="Arial Unicode MS" w:hAnsi="Times New Roman" w:cs="Times New Roman"/>
          <w:b/>
          <w:bCs/>
          <w:i/>
          <w:iCs/>
          <w:spacing w:val="30"/>
          <w:sz w:val="28"/>
          <w:szCs w:val="28"/>
          <w:shd w:val="clear" w:color="auto" w:fill="FFFFFF"/>
        </w:rPr>
        <w:t>—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производительность единицы оборудования, шт</w:t>
      </w:r>
      <w:r w:rsidR="002C5EA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>/час;</w:t>
      </w:r>
    </w:p>
    <w:p w:rsidR="00577891" w:rsidRPr="006757DC" w:rsidRDefault="00CA6606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i/>
          <w:iCs/>
          <w:spacing w:val="30"/>
          <w:sz w:val="32"/>
          <w:szCs w:val="32"/>
          <w:shd w:val="clear" w:color="auto" w:fill="FFFFFF"/>
        </w:rPr>
        <w:t xml:space="preserve">    </w:t>
      </w:r>
      <w:r w:rsidR="00577891" w:rsidRPr="002C5EAB">
        <w:rPr>
          <w:rFonts w:ascii="Times New Roman" w:eastAsia="Arial Unicode MS" w:hAnsi="Times New Roman" w:cs="Times New Roman"/>
          <w:bCs/>
          <w:i/>
          <w:iCs/>
          <w:spacing w:val="30"/>
          <w:sz w:val="32"/>
          <w:szCs w:val="32"/>
          <w:shd w:val="clear" w:color="auto" w:fill="FFFFFF"/>
        </w:rPr>
        <w:t>n</w:t>
      </w:r>
      <w:r w:rsidR="00577891" w:rsidRPr="006757DC">
        <w:rPr>
          <w:rFonts w:ascii="Times New Roman" w:eastAsia="Arial Unicode MS" w:hAnsi="Times New Roman" w:cs="Times New Roman"/>
          <w:b/>
          <w:bCs/>
          <w:i/>
          <w:iCs/>
          <w:spacing w:val="30"/>
          <w:sz w:val="28"/>
          <w:szCs w:val="28"/>
          <w:shd w:val="clear" w:color="auto" w:fill="FFFFFF"/>
        </w:rPr>
        <w:t xml:space="preserve"> —</w:t>
      </w:r>
      <w:r w:rsidR="00577891" w:rsidRPr="006757DC">
        <w:rPr>
          <w:rFonts w:ascii="Times New Roman" w:eastAsia="Times New Roman" w:hAnsi="Times New Roman" w:cs="Times New Roman"/>
          <w:sz w:val="28"/>
          <w:szCs w:val="28"/>
        </w:rPr>
        <w:t xml:space="preserve"> количество собираемых элементов.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Количество элементов, устанавливаемых на одном оборудовании на</w:t>
      </w:r>
      <w:r w:rsidRPr="006757DC">
        <w:rPr>
          <w:rFonts w:ascii="Times New Roman" w:eastAsiaTheme="majorEastAsia" w:hAnsi="Times New Roman" w:cs="Times New Roman"/>
          <w:b/>
          <w:bCs/>
          <w:i/>
          <w:iCs/>
          <w:snapToGrid w:val="0"/>
          <w:sz w:val="20"/>
          <w:szCs w:val="28"/>
          <w:shd w:val="clear" w:color="auto" w:fill="FFFFFF"/>
          <w:lang w:eastAsia="ru-RU"/>
        </w:rPr>
        <w:t xml:space="preserve"> </w:t>
      </w:r>
      <w:proofErr w:type="spellStart"/>
      <w:r w:rsidRPr="002C5EAB">
        <w:rPr>
          <w:rFonts w:ascii="Times New Roman" w:eastAsiaTheme="majorEastAsia" w:hAnsi="Times New Roman" w:cs="Times New Roman"/>
          <w:bCs/>
          <w:i/>
          <w:iCs/>
          <w:snapToGrid w:val="0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2C5EAB">
        <w:rPr>
          <w:rFonts w:ascii="Times New Roman" w:eastAsiaTheme="majorEastAsia" w:hAnsi="Times New Roman" w:cs="Times New Roman"/>
          <w:bCs/>
          <w:i/>
          <w:iCs/>
          <w:snapToGrid w:val="0"/>
          <w:sz w:val="28"/>
          <w:szCs w:val="28"/>
          <w:shd w:val="clear" w:color="auto" w:fill="FFFFFF"/>
          <w:lang w:eastAsia="ru-RU"/>
        </w:rPr>
        <w:t>-</w:t>
      </w:r>
      <w:proofErr w:type="spellStart"/>
      <w:r w:rsidRPr="002C5EAB">
        <w:rPr>
          <w:rFonts w:ascii="Times New Roman" w:eastAsiaTheme="majorEastAsia" w:hAnsi="Times New Roman" w:cs="Times New Roman"/>
          <w:bCs/>
          <w:i/>
          <w:iCs/>
          <w:snapToGrid w:val="0"/>
          <w:sz w:val="28"/>
          <w:szCs w:val="28"/>
          <w:shd w:val="clear" w:color="auto" w:fill="FFFFFF"/>
          <w:lang w:eastAsia="ru-RU"/>
        </w:rPr>
        <w:t>й</w:t>
      </w:r>
      <w:proofErr w:type="spellEnd"/>
      <w:r w:rsidRPr="006757DC">
        <w:rPr>
          <w:rFonts w:ascii="Times New Roman" w:eastAsiaTheme="majorEastAsia" w:hAnsi="Times New Roman" w:cs="Times New Roman"/>
          <w:b/>
          <w:bCs/>
          <w:i/>
          <w:iCs/>
          <w:snapToGrid w:val="0"/>
          <w:sz w:val="20"/>
          <w:szCs w:val="28"/>
          <w:shd w:val="clear" w:color="auto" w:fill="FFFFFF"/>
          <w:lang w:eastAsia="ru-RU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операции, должно учитывать соотношение: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tabs>
          <w:tab w:val="left" w:pos="6010"/>
        </w:tabs>
        <w:spacing w:after="0" w:line="240" w:lineRule="auto"/>
        <w:ind w:firstLine="288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position w:val="-24"/>
          <w:sz w:val="28"/>
          <w:szCs w:val="28"/>
          <w:lang w:eastAsia="ru-RU"/>
        </w:rPr>
        <w:object w:dxaOrig="1380" w:dyaOrig="620">
          <v:shape id="_x0000_i1026" type="#_x0000_t75" style="width:100.5pt;height:36pt" o:ole="" fillcolor="window">
            <v:imagedata r:id="rId7" o:title=""/>
          </v:shape>
          <o:OLEObject Type="Embed" ProgID="Equation.DSMT4" ShapeID="_x0000_i1026" DrawAspect="Content" ObjectID="_1599083549" r:id="rId8"/>
        </w:objec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</w:t>
      </w:r>
    </w:p>
    <w:p w:rsidR="00577891" w:rsidRPr="006757DC" w:rsidRDefault="00577891" w:rsidP="00577891">
      <w:pPr>
        <w:widowControl w:val="0"/>
        <w:tabs>
          <w:tab w:val="left" w:pos="6010"/>
        </w:tabs>
        <w:spacing w:after="0" w:line="240" w:lineRule="auto"/>
        <w:ind w:firstLine="2880"/>
        <w:contextualSpacing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где</w:t>
      </w:r>
      <w:r w:rsidRPr="006757DC">
        <w:rPr>
          <w:rFonts w:ascii="Times New Roman" w:eastAsia="Times New Roman" w:hAnsi="Times New Roman" w:cs="Times New Roman"/>
          <w:b/>
          <w:bCs/>
          <w:i/>
          <w:iCs/>
          <w:snapToGrid w:val="0"/>
          <w:sz w:val="18"/>
          <w:szCs w:val="28"/>
          <w:shd w:val="clear" w:color="auto" w:fill="FFFFFF"/>
        </w:rPr>
        <w:t xml:space="preserve"> </w:t>
      </w:r>
      <w:r w:rsidRPr="002C5EAB">
        <w:rPr>
          <w:rFonts w:ascii="Times New Roman" w:eastAsia="Times New Roman" w:hAnsi="Times New Roman" w:cs="Times New Roman"/>
          <w:bCs/>
          <w:i/>
          <w:iCs/>
          <w:snapToGrid w:val="0"/>
          <w:sz w:val="28"/>
          <w:szCs w:val="28"/>
          <w:shd w:val="clear" w:color="auto" w:fill="FFFFFF"/>
          <w:lang w:val="en-US"/>
        </w:rPr>
        <w:t>T</w:t>
      </w:r>
      <w:r w:rsidRPr="002C5EAB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shd w:val="clear" w:color="auto" w:fill="FFFFFF"/>
          <w:lang w:val="en-US"/>
        </w:rPr>
        <w:t>i</w:t>
      </w:r>
      <w:r w:rsidRPr="002C5EAB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трудоемкость</w:t>
      </w:r>
      <w:r w:rsidRPr="00C91232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Pr="00C91232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i</w:t>
      </w:r>
      <w:proofErr w:type="spellEnd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-ой операции сборки.</w:t>
      </w:r>
    </w:p>
    <w:p w:rsidR="00577891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После разработки схемы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сборочного состава рассчитываются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следующие коэффициенты:</w:t>
      </w:r>
    </w:p>
    <w:p w:rsidR="002C5EAB" w:rsidRPr="006757DC" w:rsidRDefault="002C5EAB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Default="00577891" w:rsidP="002C5EAB">
      <w:pPr>
        <w:widowControl w:val="0"/>
        <w:tabs>
          <w:tab w:val="left" w:pos="63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00C7F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Средняя полнота сборочного состава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(количество сборочных единиц на каждой ступени сборки):</w:t>
      </w:r>
    </w:p>
    <w:p w:rsidR="00577891" w:rsidRPr="006757DC" w:rsidRDefault="00577891" w:rsidP="00577891">
      <w:pPr>
        <w:widowControl w:val="0"/>
        <w:tabs>
          <w:tab w:val="left" w:pos="632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Default="00577891" w:rsidP="00577891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8414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Pr="002C5E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=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Pr="006236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</w:t>
      </w:r>
      <w:proofErr w:type="spellEnd"/>
      <w:r w:rsidRPr="006236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- 1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577891" w:rsidRPr="006757DC" w:rsidRDefault="00577891" w:rsidP="00577891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Е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— общее количество сборочных единиц в схеме сборочного состава;</w:t>
      </w:r>
    </w:p>
    <w:p w:rsidR="002C5EAB" w:rsidRDefault="002C5EAB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uk-UA"/>
        </w:rPr>
        <w:t xml:space="preserve">     </w:t>
      </w:r>
      <w:r w:rsidR="00577891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uk-UA"/>
        </w:rPr>
        <w:t xml:space="preserve"> </w:t>
      </w:r>
      <w:r w:rsidR="00577891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uk-UA"/>
        </w:rPr>
        <w:t>і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uk-UA"/>
        </w:rPr>
        <w:t xml:space="preserve">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— показатель степени сложности сборочного состава, равный количеству</w:t>
      </w:r>
    </w:p>
    <w:p w:rsidR="00577891" w:rsidRDefault="002C5EAB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ступеней сборки изделия.</w:t>
      </w:r>
    </w:p>
    <w:p w:rsidR="002C5EAB" w:rsidRDefault="002C5EAB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E7508E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E7508E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Модуль расчлененности данного процесса сборки:</w:t>
      </w:r>
    </w:p>
    <w:p w:rsidR="00577891" w:rsidRPr="006757DC" w:rsidRDefault="00577891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061A74" w:rsidP="00577891">
      <w:pPr>
        <w:widowControl w:val="0"/>
        <w:spacing w:after="0" w:line="240" w:lineRule="auto"/>
        <w:ind w:firstLine="288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begin"/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 xml:space="preserve">  М=</m:t>
        </m:r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Е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 xml:space="preserve">  , </m:t>
        </m:r>
      </m:oMath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</w:instrTex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end"/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М = 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/</w:t>
      </w:r>
      <w:r w:rsidR="00577891" w:rsidRPr="001B0B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288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n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— число рабочих операций, определенных для конкретных условий производства (при 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M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&lt;1 ТП </w:t>
      </w:r>
      <w:proofErr w:type="gramStart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концентрирован</w:t>
      </w:r>
      <w:proofErr w:type="gramEnd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700EA3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М</w:t>
      </w:r>
      <w:r w:rsidR="00700EA3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&gt;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1 — дифференцирован): </w:t>
      </w:r>
      <w:r w:rsidR="00061A74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begin"/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>М=</m:t>
        </m:r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Е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1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 xml:space="preserve">=11  </m:t>
        </m:r>
      </m:oMath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</w:instrText>
      </w:r>
      <w:r w:rsidR="00061A74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end"/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577891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Следовательно, процесс дифференцирован.</w:t>
      </w:r>
    </w:p>
    <w:p w:rsidR="002C5EAB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</w:p>
    <w:p w:rsidR="00577891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C91232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Коэффициент сборности изделия:</w:t>
      </w:r>
    </w:p>
    <w:p w:rsidR="00577891" w:rsidRPr="00C91232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bookmarkStart w:id="17" w:name="_GoBack"/>
      <w:bookmarkEnd w:id="17"/>
    </w:p>
    <w:p w:rsidR="00577891" w:rsidRPr="006757DC" w:rsidRDefault="00577891" w:rsidP="0057789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F5DBD">
        <w:rPr>
          <w:rFonts w:ascii="Times New Roman" w:hAnsi="Times New Roman" w:cs="Times New Roman"/>
          <w:sz w:val="24"/>
          <w:szCs w:val="24"/>
        </w:rPr>
        <w:t>сб</w:t>
      </w:r>
      <w:r w:rsidRPr="006757D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Е / Е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57DC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Pr="005A1D6D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количество деталей.</w:t>
      </w:r>
    </w:p>
    <w:p w:rsidR="00577891" w:rsidRPr="00E7508E" w:rsidRDefault="00577891" w:rsidP="00577891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Pr="00C91232">
        <w:rPr>
          <w:rFonts w:ascii="Times New Roman" w:hAnsi="Times New Roman" w:cs="Times New Roman"/>
          <w:i/>
          <w:sz w:val="28"/>
          <w:szCs w:val="28"/>
        </w:rPr>
        <w:t>степени дифференциации технологического процесса</w:t>
      </w:r>
      <w:r w:rsidRPr="006757DC">
        <w:rPr>
          <w:rFonts w:ascii="Times New Roman" w:hAnsi="Times New Roman" w:cs="Times New Roman"/>
          <w:sz w:val="28"/>
          <w:szCs w:val="28"/>
        </w:rPr>
        <w:t xml:space="preserve"> устанавливают тип производства, который согласно ГОСТ 3.1108-74 ЕСТД </w:t>
      </w:r>
      <w:r w:rsidR="00E31BAC" w:rsidRPr="006757DC">
        <w:rPr>
          <w:rFonts w:ascii="Times New Roman" w:hAnsi="Times New Roman" w:cs="Times New Roman"/>
          <w:sz w:val="28"/>
          <w:szCs w:val="28"/>
        </w:rPr>
        <w:t>характеризуется</w:t>
      </w:r>
      <w:r w:rsidR="00E31BAC">
        <w:rPr>
          <w:rFonts w:ascii="Times New Roman" w:hAnsi="Times New Roman" w:cs="Times New Roman"/>
          <w:sz w:val="28"/>
          <w:szCs w:val="28"/>
        </w:rPr>
        <w:t xml:space="preserve"> </w:t>
      </w:r>
      <w:r w:rsidR="00E31BAC" w:rsidRPr="006757DC">
        <w:rPr>
          <w:rFonts w:ascii="Times New Roman" w:hAnsi="Times New Roman" w:cs="Times New Roman"/>
          <w:sz w:val="28"/>
          <w:szCs w:val="28"/>
        </w:rPr>
        <w:t>коэффициентом</w:t>
      </w:r>
      <w:r w:rsidRPr="00E7508E">
        <w:rPr>
          <w:rFonts w:ascii="Times New Roman" w:hAnsi="Times New Roman" w:cs="Times New Roman"/>
          <w:i/>
          <w:sz w:val="28"/>
          <w:szCs w:val="28"/>
        </w:rPr>
        <w:t xml:space="preserve"> закрепления операций</w:t>
      </w:r>
    </w:p>
    <w:p w:rsidR="00577891" w:rsidRPr="00E7508E" w:rsidRDefault="00577891" w:rsidP="00577891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77891" w:rsidRDefault="00577891" w:rsidP="0057789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757D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C91232">
        <w:rPr>
          <w:rFonts w:ascii="Times New Roman" w:hAnsi="Times New Roman" w:cs="Times New Roman"/>
          <w:sz w:val="24"/>
          <w:szCs w:val="24"/>
        </w:rPr>
        <w:t>зо</w:t>
      </w:r>
      <w:proofErr w:type="spellEnd"/>
      <w:r w:rsidRPr="00C91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О /</w:t>
      </w: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891" w:rsidRPr="006757DC" w:rsidRDefault="00577891" w:rsidP="0057789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</w:t>
      </w:r>
    </w:p>
    <w:p w:rsidR="00577891" w:rsidRPr="006757DC" w:rsidRDefault="00577891" w:rsidP="00577891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r w:rsidRPr="005A1D6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757DC">
        <w:rPr>
          <w:rFonts w:ascii="Times New Roman" w:hAnsi="Times New Roman" w:cs="Times New Roman"/>
          <w:sz w:val="28"/>
          <w:szCs w:val="28"/>
        </w:rPr>
        <w:t xml:space="preserve"> - количество операций;</w:t>
      </w:r>
    </w:p>
    <w:p w:rsidR="00577891" w:rsidRDefault="00577891" w:rsidP="00577891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1D6D">
        <w:rPr>
          <w:rFonts w:ascii="Times New Roman" w:hAnsi="Times New Roman" w:cs="Times New Roman"/>
          <w:sz w:val="28"/>
          <w:szCs w:val="28"/>
        </w:rPr>
        <w:t xml:space="preserve">Р </w:t>
      </w:r>
      <w:r w:rsidRPr="006757DC">
        <w:rPr>
          <w:rFonts w:ascii="Times New Roman" w:hAnsi="Times New Roman" w:cs="Times New Roman"/>
          <w:sz w:val="28"/>
          <w:szCs w:val="28"/>
        </w:rPr>
        <w:t>- число рабочих мест, где они выполняются.</w:t>
      </w:r>
    </w:p>
    <w:p w:rsidR="00E7508E" w:rsidRDefault="00577891" w:rsidP="00E7508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основании значения </w:t>
      </w:r>
      <w:r w:rsidRPr="00E02634">
        <w:rPr>
          <w:rFonts w:ascii="Times New Roman" w:hAnsi="Times New Roman" w:cs="Times New Roman"/>
          <w:sz w:val="28"/>
          <w:szCs w:val="28"/>
        </w:rPr>
        <w:t>степени дифференциации технологического процесса</w:t>
      </w:r>
      <w:r>
        <w:rPr>
          <w:rFonts w:ascii="Times New Roman" w:hAnsi="Times New Roman" w:cs="Times New Roman"/>
          <w:sz w:val="28"/>
          <w:szCs w:val="28"/>
        </w:rPr>
        <w:t>, делаем вывод о типе производства</w:t>
      </w:r>
      <w:r w:rsidR="00E7508E">
        <w:rPr>
          <w:rFonts w:ascii="Times New Roman" w:hAnsi="Times New Roman" w:cs="Times New Roman"/>
          <w:sz w:val="28"/>
          <w:szCs w:val="28"/>
        </w:rPr>
        <w:t>.</w:t>
      </w:r>
    </w:p>
    <w:p w:rsidR="00E7508E" w:rsidRPr="00924B78" w:rsidRDefault="00E7508E" w:rsidP="00E7508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757DC" w:rsidRPr="00924B78" w:rsidRDefault="00E7508E" w:rsidP="008B385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924B78">
        <w:rPr>
          <w:rFonts w:ascii="Times New Roman" w:hAnsi="Times New Roman" w:cs="Times New Roman"/>
          <w:i/>
          <w:sz w:val="28"/>
          <w:szCs w:val="28"/>
        </w:rPr>
        <w:t>П</w:t>
      </w:r>
      <w:r w:rsidR="006857F8" w:rsidRPr="00924B78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 xml:space="preserve">ример </w:t>
      </w:r>
      <w:r w:rsidR="005A1D6D" w:rsidRPr="00924B78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>т</w:t>
      </w:r>
      <w:r w:rsidR="006857F8" w:rsidRPr="00924B78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>ехнологической схемы сборки платы</w:t>
      </w:r>
      <w:r w:rsidR="006857F8" w:rsidRPr="00924B78"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  <w:t>.</w:t>
      </w:r>
      <w:bookmarkEnd w:id="0"/>
    </w:p>
    <w:p w:rsidR="006757DC" w:rsidRDefault="006757DC" w:rsidP="006757DC">
      <w:pPr>
        <w:rPr>
          <w:lang w:eastAsia="ru-RU"/>
        </w:rPr>
      </w:pPr>
      <w:r w:rsidRPr="008B2C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75725" cy="7620000"/>
            <wp:effectExtent l="19050" t="0" r="9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05" cy="7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6D" w:rsidRDefault="005A1D6D" w:rsidP="005A1D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4574">
        <w:rPr>
          <w:rFonts w:ascii="Times New Roman" w:hAnsi="Times New Roman" w:cs="Times New Roman"/>
          <w:sz w:val="28"/>
          <w:szCs w:val="28"/>
        </w:rPr>
        <w:lastRenderedPageBreak/>
        <w:t>Отчет по практическому занятию выполняется в виде электронного документа и помещается в личную папку студента.</w:t>
      </w:r>
    </w:p>
    <w:p w:rsidR="005A1D6D" w:rsidRDefault="005A1D6D" w:rsidP="005A1D6D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</w:p>
    <w:p w:rsidR="005A1D6D" w:rsidRDefault="005A1D6D" w:rsidP="005A1D6D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  <w:t xml:space="preserve">Список </w:t>
      </w:r>
      <w:r w:rsidRPr="00821AAF"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  <w:t>литературных источников</w:t>
      </w:r>
    </w:p>
    <w:p w:rsidR="005A1D6D" w:rsidRDefault="005A1D6D" w:rsidP="005A1D6D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</w:p>
    <w:p w:rsidR="00C15011" w:rsidRPr="00C15011" w:rsidRDefault="00C15011" w:rsidP="00C15011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 В. Мылов. Печатные платы. Выбор базовых материалов 2015, 176 с.</w:t>
      </w:r>
    </w:p>
    <w:p w:rsidR="00C15011" w:rsidRPr="00C15011" w:rsidRDefault="00C15011" w:rsidP="00C15011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А.Н.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Гормаков, Н.А. Воронина. Конструирование и технология электронных устройств приборов. Печатные платы. 2006 г.,164 с. </w:t>
      </w:r>
    </w:p>
    <w:p w:rsidR="005A1D6D" w:rsidRPr="00141D3F" w:rsidRDefault="005A1D6D" w:rsidP="005A1D6D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А. Медведев. 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41D3F">
        <w:rPr>
          <w:rFonts w:ascii="Times New Roman" w:hAnsi="Times New Roman" w:cs="Times New Roman"/>
          <w:sz w:val="28"/>
          <w:szCs w:val="28"/>
          <w:lang w:eastAsia="ru-RU"/>
        </w:rPr>
        <w:t>Технология производства печатных плат. 2005 г., 360 с. </w:t>
      </w:r>
    </w:p>
    <w:p w:rsidR="005A1D6D" w:rsidRPr="00141D3F" w:rsidRDefault="005A1D6D" w:rsidP="005A1D6D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Л.А. Брусницына, Е.И. Степановских. 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41D3F">
        <w:rPr>
          <w:rFonts w:ascii="Times New Roman" w:hAnsi="Times New Roman" w:cs="Times New Roman"/>
          <w:sz w:val="28"/>
          <w:szCs w:val="28"/>
          <w:lang w:eastAsia="ru-RU"/>
        </w:rPr>
        <w:t>Технология изготовления печатных плат. Учебное пособие. 2015 г. 200 с. </w:t>
      </w:r>
    </w:p>
    <w:p w:rsidR="005A1D6D" w:rsidRPr="00141D3F" w:rsidRDefault="005A1D6D" w:rsidP="005A1D6D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Остек. Материалы для пайки и ремонт печатных плат. 2013 г., 96 с. </w:t>
      </w:r>
    </w:p>
    <w:p w:rsidR="005A1D6D" w:rsidRDefault="005A1D6D" w:rsidP="005A1D6D">
      <w:pPr>
        <w:pStyle w:val="a9"/>
        <w:numPr>
          <w:ilvl w:val="0"/>
          <w:numId w:val="2"/>
        </w:numPr>
        <w:tabs>
          <w:tab w:val="left" w:pos="1134"/>
        </w:tabs>
        <w:spacing w:line="276" w:lineRule="auto"/>
        <w:jc w:val="both"/>
        <w:rPr>
          <w:rFonts w:ascii="Times New Roman" w:hAnsi="Times New Roman"/>
        </w:rPr>
      </w:pPr>
      <w:r w:rsidRPr="000F65C1">
        <w:rPr>
          <w:rFonts w:ascii="Times New Roman" w:hAnsi="Times New Roman"/>
        </w:rPr>
        <w:t>Технология РЭУ и автоматизация производства / А. П. Достанко [и др.]. – Мн.: Вышэйшая школа, 2002. – 415с.</w:t>
      </w:r>
    </w:p>
    <w:p w:rsidR="00D92058" w:rsidRDefault="00D92058" w:rsidP="005A1D6D">
      <w:pPr>
        <w:pStyle w:val="a9"/>
        <w:numPr>
          <w:ilvl w:val="0"/>
          <w:numId w:val="2"/>
        </w:numPr>
        <w:tabs>
          <w:tab w:val="left" w:pos="1134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Cs w:val="28"/>
          <w:lang w:val="ru-RU"/>
        </w:rPr>
        <w:t>ГОСТ 3.1108-74 Единая система технологической документации (ЕСТД). Комплектность документов в зависимости от типа и характера производства</w:t>
      </w:r>
    </w:p>
    <w:p w:rsidR="005A1D6D" w:rsidRDefault="005A1D6D" w:rsidP="005A1D6D">
      <w:pPr>
        <w:pStyle w:val="a8"/>
        <w:numPr>
          <w:ilvl w:val="0"/>
          <w:numId w:val="2"/>
        </w:num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95C">
        <w:rPr>
          <w:rFonts w:ascii="Times New Roman" w:hAnsi="Times New Roman" w:cs="Times New Roman"/>
          <w:sz w:val="28"/>
          <w:szCs w:val="28"/>
        </w:rPr>
        <w:t>ГОСТ 2.004-88 «Общие требования к выполнению конструкторских и технологических документов»;</w:t>
      </w:r>
    </w:p>
    <w:p w:rsidR="005A1D6D" w:rsidRPr="00B21358" w:rsidRDefault="005A1D6D" w:rsidP="005A1D6D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>ГОСТ23751 – 86 Печатные платы. Основные параметры конструкций.</w:t>
      </w:r>
    </w:p>
    <w:p w:rsidR="005A1D6D" w:rsidRDefault="005A1D6D" w:rsidP="005A1D6D">
      <w:pPr>
        <w:pStyle w:val="a8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154C">
        <w:rPr>
          <w:rFonts w:ascii="Times New Roman" w:eastAsia="Times New Roman" w:hAnsi="Times New Roman" w:cs="Times New Roman"/>
          <w:sz w:val="28"/>
          <w:szCs w:val="28"/>
        </w:rPr>
        <w:t xml:space="preserve">ГОСТ 23752−79, </w:t>
      </w:r>
      <w:r>
        <w:rPr>
          <w:rFonts w:ascii="Times New Roman" w:eastAsia="Times New Roman" w:hAnsi="Times New Roman" w:cs="Times New Roman"/>
          <w:sz w:val="28"/>
          <w:szCs w:val="28"/>
        </w:rPr>
        <w:t>Печатные платы. Общие технические условия.</w:t>
      </w:r>
    </w:p>
    <w:p w:rsidR="005A1D6D" w:rsidRDefault="005A1D6D" w:rsidP="005A1D6D">
      <w:pPr>
        <w:pStyle w:val="a8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10316−78. Гетинакс и стеклотекстолит фольгированные. Технические условия.</w:t>
      </w:r>
      <w:r w:rsidRPr="00C11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A1D6D" w:rsidRPr="00B21358" w:rsidRDefault="005A1D6D" w:rsidP="005A1D6D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358">
        <w:rPr>
          <w:rFonts w:ascii="Times New Roman" w:eastAsia="Times New Roman" w:hAnsi="Times New Roman" w:cs="Times New Roman"/>
          <w:sz w:val="28"/>
          <w:szCs w:val="28"/>
        </w:rPr>
        <w:t xml:space="preserve">ГОСТ 29137−91 </w:t>
      </w:r>
      <w:r w:rsidRPr="00B21358">
        <w:rPr>
          <w:rFonts w:ascii="Times New Roman" w:hAnsi="Times New Roman" w:cs="Times New Roman"/>
          <w:sz w:val="28"/>
          <w:szCs w:val="28"/>
        </w:rPr>
        <w:t>Формовка выводов и установка изделий электронной техники на печатные платы.</w:t>
      </w:r>
    </w:p>
    <w:p w:rsidR="005A1D6D" w:rsidRPr="00C15011" w:rsidRDefault="005A1D6D" w:rsidP="00587D3B">
      <w:pPr>
        <w:pStyle w:val="a8"/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 w:rsidRPr="00C1501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15011">
        <w:rPr>
          <w:rFonts w:ascii="Times New Roman" w:hAnsi="Times New Roman"/>
          <w:sz w:val="28"/>
          <w:szCs w:val="28"/>
        </w:rPr>
        <w:t xml:space="preserve">ГОСТ 12.2.003 </w:t>
      </w:r>
      <w:r w:rsidRPr="00C15011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Оборудование производственное. Общие требования безопасности.</w:t>
      </w:r>
    </w:p>
    <w:p w:rsidR="005A1D6D" w:rsidRDefault="005A1D6D" w:rsidP="005A1D6D">
      <w:pPr>
        <w:pStyle w:val="a9"/>
        <w:numPr>
          <w:ilvl w:val="0"/>
          <w:numId w:val="2"/>
        </w:numPr>
        <w:contextualSpacing/>
        <w:jc w:val="both"/>
        <w:rPr>
          <w:rFonts w:ascii="Times New Roman" w:hAnsi="Times New Roman"/>
          <w:szCs w:val="28"/>
        </w:rPr>
      </w:pPr>
      <w:r w:rsidRPr="00002CFD">
        <w:rPr>
          <w:rFonts w:ascii="Times New Roman" w:hAnsi="Times New Roman"/>
          <w:szCs w:val="28"/>
        </w:rPr>
        <w:t xml:space="preserve">ГОСТ Р 53432-2009 Платы печатные. Общие технические требования к производству. </w:t>
      </w:r>
    </w:p>
    <w:p w:rsidR="00016002" w:rsidRPr="007B5884" w:rsidRDefault="00016002" w:rsidP="00016002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t xml:space="preserve">Пирогова Е.В. Проектирование и технология печатных плат: </w:t>
      </w:r>
    </w:p>
    <w:p w:rsidR="00016002" w:rsidRPr="00016002" w:rsidRDefault="00016002" w:rsidP="000160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016002">
        <w:rPr>
          <w:rFonts w:ascii="Times New Roman" w:eastAsia="Calibri" w:hAnsi="Times New Roman" w:cs="Times New Roman"/>
          <w:sz w:val="28"/>
          <w:szCs w:val="28"/>
        </w:rPr>
        <w:t>Учебник. – М.: ФОРУМ. 2005. – 560 с.</w:t>
      </w:r>
    </w:p>
    <w:p w:rsidR="00016002" w:rsidRDefault="00016002" w:rsidP="00016002">
      <w:pPr>
        <w:pStyle w:val="a9"/>
        <w:ind w:left="360" w:firstLine="0"/>
        <w:contextualSpacing/>
        <w:jc w:val="both"/>
        <w:rPr>
          <w:rFonts w:ascii="Times New Roman" w:hAnsi="Times New Roman"/>
          <w:szCs w:val="28"/>
        </w:rPr>
      </w:pPr>
    </w:p>
    <w:p w:rsidR="00D92058" w:rsidRPr="001B1C55" w:rsidRDefault="00D92058" w:rsidP="00D92058">
      <w:pPr>
        <w:pStyle w:val="a9"/>
        <w:ind w:left="360" w:firstLine="0"/>
        <w:contextualSpacing/>
        <w:jc w:val="both"/>
        <w:rPr>
          <w:rFonts w:ascii="Times New Roman" w:hAnsi="Times New Roman"/>
          <w:szCs w:val="28"/>
        </w:rPr>
      </w:pPr>
    </w:p>
    <w:p w:rsidR="005A1D6D" w:rsidRPr="00E02634" w:rsidRDefault="005A1D6D" w:rsidP="005A1D6D">
      <w:pPr>
        <w:widowControl w:val="0"/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F4612" w:rsidRDefault="001F4612" w:rsidP="006757DC">
      <w:pPr>
        <w:rPr>
          <w:lang w:eastAsia="ru-RU"/>
        </w:rPr>
      </w:pPr>
    </w:p>
    <w:sectPr w:rsidR="001F4612" w:rsidSect="00BC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439E"/>
    <w:rsid w:val="00016002"/>
    <w:rsid w:val="00061A74"/>
    <w:rsid w:val="00167E3B"/>
    <w:rsid w:val="00194BEB"/>
    <w:rsid w:val="001F4612"/>
    <w:rsid w:val="002353FC"/>
    <w:rsid w:val="002950AA"/>
    <w:rsid w:val="002C5EAB"/>
    <w:rsid w:val="0031795F"/>
    <w:rsid w:val="00512AD3"/>
    <w:rsid w:val="00567DFB"/>
    <w:rsid w:val="00577891"/>
    <w:rsid w:val="005A1D6D"/>
    <w:rsid w:val="005C62E1"/>
    <w:rsid w:val="005E6951"/>
    <w:rsid w:val="00661F4C"/>
    <w:rsid w:val="006757DC"/>
    <w:rsid w:val="006857F8"/>
    <w:rsid w:val="00700EA3"/>
    <w:rsid w:val="007D3722"/>
    <w:rsid w:val="008A439E"/>
    <w:rsid w:val="008A7EBD"/>
    <w:rsid w:val="008B3853"/>
    <w:rsid w:val="00924B78"/>
    <w:rsid w:val="00973CE2"/>
    <w:rsid w:val="009E448C"/>
    <w:rsid w:val="00BC3E4E"/>
    <w:rsid w:val="00C15011"/>
    <w:rsid w:val="00C97369"/>
    <w:rsid w:val="00CA6606"/>
    <w:rsid w:val="00CC20BF"/>
    <w:rsid w:val="00D21DBC"/>
    <w:rsid w:val="00D92058"/>
    <w:rsid w:val="00DC47B1"/>
    <w:rsid w:val="00E31BAC"/>
    <w:rsid w:val="00E7508E"/>
    <w:rsid w:val="00F0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39E"/>
  </w:style>
  <w:style w:type="paragraph" w:styleId="1">
    <w:name w:val="heading 1"/>
    <w:basedOn w:val="a"/>
    <w:next w:val="a"/>
    <w:link w:val="10"/>
    <w:uiPriority w:val="9"/>
    <w:qFormat/>
    <w:rsid w:val="008A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qFormat/>
    <w:rsid w:val="008A439E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2">
    <w:name w:val="заголовок 1 Знак"/>
    <w:basedOn w:val="a0"/>
    <w:link w:val="11"/>
    <w:rsid w:val="008A439E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customStyle="1" w:styleId="9">
    <w:name w:val="Основной текст (9)_"/>
    <w:link w:val="90"/>
    <w:uiPriority w:val="99"/>
    <w:locked/>
    <w:rsid w:val="008A439E"/>
    <w:rPr>
      <w:rFonts w:ascii="Times New Roman" w:hAnsi="Times New Roman"/>
      <w:sz w:val="29"/>
      <w:szCs w:val="29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8A439E"/>
    <w:pPr>
      <w:shd w:val="clear" w:color="auto" w:fill="FFFFFF"/>
      <w:spacing w:before="660" w:after="0" w:line="240" w:lineRule="auto"/>
      <w:ind w:hanging="580"/>
    </w:pPr>
    <w:rPr>
      <w:rFonts w:ascii="Times New Roman" w:hAnsi="Times New Roman"/>
      <w:sz w:val="29"/>
      <w:szCs w:val="29"/>
    </w:rPr>
  </w:style>
  <w:style w:type="paragraph" w:styleId="a3">
    <w:name w:val="Body Text"/>
    <w:basedOn w:val="a"/>
    <w:link w:val="a4"/>
    <w:uiPriority w:val="99"/>
    <w:semiHidden/>
    <w:unhideWhenUsed/>
    <w:rsid w:val="008A439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A439E"/>
  </w:style>
  <w:style w:type="character" w:customStyle="1" w:styleId="14">
    <w:name w:val="Основной текст (14)_"/>
    <w:link w:val="140"/>
    <w:uiPriority w:val="99"/>
    <w:locked/>
    <w:rsid w:val="008A439E"/>
    <w:rPr>
      <w:rFonts w:ascii="Times New Roman" w:hAnsi="Times New Roman"/>
      <w:sz w:val="16"/>
      <w:szCs w:val="16"/>
      <w:shd w:val="clear" w:color="auto" w:fill="FFFFFF"/>
    </w:rPr>
  </w:style>
  <w:style w:type="paragraph" w:customStyle="1" w:styleId="140">
    <w:name w:val="Основной текст (14)"/>
    <w:basedOn w:val="a"/>
    <w:link w:val="14"/>
    <w:uiPriority w:val="99"/>
    <w:rsid w:val="008A439E"/>
    <w:pPr>
      <w:shd w:val="clear" w:color="auto" w:fill="FFFFFF"/>
      <w:spacing w:before="240" w:after="360" w:line="240" w:lineRule="atLeast"/>
    </w:pPr>
    <w:rPr>
      <w:rFonts w:ascii="Times New Roman" w:hAnsi="Times New Roman"/>
      <w:sz w:val="16"/>
      <w:szCs w:val="16"/>
    </w:rPr>
  </w:style>
  <w:style w:type="character" w:customStyle="1" w:styleId="MSReferenceSansSerif4">
    <w:name w:val="Основной текст + MS Reference Sans Serif4"/>
    <w:aliases w:val="8 pt3,Курсив20,Интервал 0 pt21"/>
    <w:uiPriority w:val="99"/>
    <w:rsid w:val="008A439E"/>
    <w:rPr>
      <w:rFonts w:ascii="MS Reference Sans Serif" w:hAnsi="MS Reference Sans Serif" w:cs="MS Reference Sans Serif"/>
      <w:b/>
      <w:bCs/>
      <w:i/>
      <w:iCs/>
      <w:spacing w:val="-10"/>
      <w:sz w:val="16"/>
      <w:szCs w:val="16"/>
      <w:shd w:val="clear" w:color="auto" w:fill="FFFFFF"/>
    </w:rPr>
  </w:style>
  <w:style w:type="character" w:customStyle="1" w:styleId="a5">
    <w:name w:val="Основной текст + Курсив"/>
    <w:aliases w:val="Интервал 1 pt3"/>
    <w:rsid w:val="008A439E"/>
    <w:rPr>
      <w:rFonts w:ascii="Times New Roman" w:hAnsi="Times New Roman" w:cs="Times New Roman"/>
      <w:b/>
      <w:bCs/>
      <w:i/>
      <w:iCs/>
      <w:spacing w:val="30"/>
      <w:sz w:val="20"/>
      <w:szCs w:val="20"/>
      <w:shd w:val="clear" w:color="auto" w:fill="FFFFFF"/>
    </w:rPr>
  </w:style>
  <w:style w:type="character" w:customStyle="1" w:styleId="14MSReferenceSansSerif">
    <w:name w:val="Основной текст (14) + MS Reference Sans Serif"/>
    <w:aliases w:val="Курсив19,Интервал 0 pt20"/>
    <w:uiPriority w:val="99"/>
    <w:rsid w:val="008A439E"/>
    <w:rPr>
      <w:rFonts w:ascii="MS Reference Sans Serif" w:hAnsi="MS Reference Sans Serif" w:cs="MS Reference Sans Serif"/>
      <w:i/>
      <w:iCs/>
      <w:spacing w:val="-10"/>
      <w:sz w:val="16"/>
      <w:szCs w:val="16"/>
      <w:shd w:val="clear" w:color="auto" w:fill="FFFFFF"/>
    </w:rPr>
  </w:style>
  <w:style w:type="character" w:customStyle="1" w:styleId="a6">
    <w:name w:val="Основной текст + Полужирный"/>
    <w:uiPriority w:val="99"/>
    <w:rsid w:val="008A439E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9pt3">
    <w:name w:val="Основной текст + 9 pt3"/>
    <w:aliases w:val="Курсив18"/>
    <w:uiPriority w:val="99"/>
    <w:rsid w:val="008A439E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  <w:lang w:val="en-US" w:eastAsia="en-US"/>
    </w:rPr>
  </w:style>
  <w:style w:type="character" w:customStyle="1" w:styleId="a7">
    <w:name w:val="Основной текст_"/>
    <w:link w:val="6"/>
    <w:rsid w:val="008A439E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6">
    <w:name w:val="Основной текст6"/>
    <w:basedOn w:val="a"/>
    <w:link w:val="a7"/>
    <w:rsid w:val="008A439E"/>
    <w:pPr>
      <w:widowControl w:val="0"/>
      <w:shd w:val="clear" w:color="auto" w:fill="FFFFFF"/>
      <w:spacing w:after="2220" w:line="322" w:lineRule="exact"/>
      <w:ind w:hanging="17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18">
    <w:name w:val="Основной текст (18)_"/>
    <w:link w:val="180"/>
    <w:uiPriority w:val="99"/>
    <w:locked/>
    <w:rsid w:val="008A439E"/>
    <w:rPr>
      <w:rFonts w:ascii="Times New Roman" w:hAnsi="Times New Roman"/>
      <w:sz w:val="17"/>
      <w:szCs w:val="1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8A439E"/>
    <w:pPr>
      <w:shd w:val="clear" w:color="auto" w:fill="FFFFFF"/>
      <w:spacing w:before="360" w:after="360" w:line="240" w:lineRule="atLeast"/>
    </w:pPr>
    <w:rPr>
      <w:rFonts w:ascii="Times New Roman" w:hAnsi="Times New Roman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8A4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3">
    <w:name w:val="Основной текст1"/>
    <w:uiPriority w:val="99"/>
    <w:rsid w:val="008A439E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8">
    <w:name w:val="List Paragraph"/>
    <w:basedOn w:val="a"/>
    <w:uiPriority w:val="34"/>
    <w:qFormat/>
    <w:rsid w:val="008A439E"/>
    <w:pPr>
      <w:ind w:left="720"/>
      <w:contextualSpacing/>
    </w:pPr>
  </w:style>
  <w:style w:type="paragraph" w:styleId="a9">
    <w:name w:val="No Spacing"/>
    <w:aliases w:val="таблица заголовок,список,для текста,Без интервала1"/>
    <w:uiPriority w:val="1"/>
    <w:qFormat/>
    <w:rsid w:val="005A1D6D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  <w:style w:type="paragraph" w:styleId="aa">
    <w:name w:val="Balloon Text"/>
    <w:basedOn w:val="a"/>
    <w:link w:val="ab"/>
    <w:uiPriority w:val="99"/>
    <w:semiHidden/>
    <w:unhideWhenUsed/>
    <w:rsid w:val="0092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4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27</cp:revision>
  <dcterms:created xsi:type="dcterms:W3CDTF">2017-12-04T22:18:00Z</dcterms:created>
  <dcterms:modified xsi:type="dcterms:W3CDTF">2018-09-21T22:05:00Z</dcterms:modified>
</cp:coreProperties>
</file>